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温州第七人民医院气动物流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维护方案</w:t>
      </w:r>
    </w:p>
    <w:p>
      <w:pPr>
        <w:jc w:val="center"/>
        <w:rPr>
          <w:rFonts w:hint="default" w:ascii="宋体" w:hAnsi="宋体" w:eastAsia="宋体" w:cs="宋体"/>
          <w:sz w:val="32"/>
          <w:szCs w:val="32"/>
          <w:lang w:val="en-US" w:eastAsia="zh-CN"/>
        </w:rPr>
      </w:pPr>
    </w:p>
    <w:p>
      <w:pPr>
        <w:spacing w:line="360" w:lineRule="auto"/>
        <w:jc w:val="both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1、维护设备及服务内容</w:t>
      </w:r>
    </w:p>
    <w:tbl>
      <w:tblPr>
        <w:tblStyle w:val="5"/>
        <w:tblW w:w="881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4536"/>
        <w:gridCol w:w="1205"/>
        <w:gridCol w:w="1205"/>
        <w:gridCol w:w="48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产品名称</w:t>
            </w:r>
          </w:p>
        </w:tc>
        <w:tc>
          <w:tcPr>
            <w:tcW w:w="12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数量</w:t>
            </w:r>
          </w:p>
        </w:tc>
        <w:tc>
          <w:tcPr>
            <w:tcW w:w="12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单位</w:t>
            </w:r>
          </w:p>
        </w:tc>
        <w:tc>
          <w:tcPr>
            <w:tcW w:w="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8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维保内容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气动物流工作站设备维护服务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48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气动物流换向器设备维护服务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13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气动物流三向阀设备维护服务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套</w:t>
            </w:r>
          </w:p>
        </w:tc>
        <w:tc>
          <w:tcPr>
            <w:tcW w:w="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气动物流配电柜维护服务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气动物流风机维护服务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传输瓶维护服务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60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个</w:t>
            </w:r>
          </w:p>
        </w:tc>
        <w:tc>
          <w:tcPr>
            <w:tcW w:w="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传输管道维护服务（全院气动物流管道）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套</w:t>
            </w:r>
          </w:p>
        </w:tc>
        <w:tc>
          <w:tcPr>
            <w:tcW w:w="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中心控制器软件维护服务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套</w:t>
            </w:r>
          </w:p>
        </w:tc>
        <w:tc>
          <w:tcPr>
            <w:tcW w:w="48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维护设备名称</w:t>
            </w:r>
          </w:p>
        </w:tc>
        <w:tc>
          <w:tcPr>
            <w:tcW w:w="7433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维护内容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工作站</w:t>
            </w:r>
          </w:p>
        </w:tc>
        <w:tc>
          <w:tcPr>
            <w:tcW w:w="7433" w:type="dxa"/>
            <w:gridSpan w:val="4"/>
            <w:vAlign w:val="center"/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主要工作：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工作站整体完好，旋转正常、正常发送接收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主控板检查节点属性校正，功能检测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液晶屏检查显示完整，亮度适中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键盘检查所有按键感应灵敏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路由传感器检查信号感应灵敏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读卡器检查快速读取传输瓶IC卡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电机皮带检查无掉齿，平稳带动转子，无异响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换向器</w:t>
            </w:r>
          </w:p>
        </w:tc>
        <w:tc>
          <w:tcPr>
            <w:tcW w:w="7433" w:type="dxa"/>
            <w:gridSpan w:val="4"/>
            <w:vAlign w:val="center"/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主要工作：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换向器板卡检查信号显示正常，节点属性存储正常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转子总成检查转子定位无偏移，传输瓶通过时安静、无异响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路由传感器检查信号感应灵敏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三向阀</w:t>
            </w:r>
          </w:p>
        </w:tc>
        <w:tc>
          <w:tcPr>
            <w:tcW w:w="7433" w:type="dxa"/>
            <w:gridSpan w:val="4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主要工作：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三向阀控制板检查信号显示正常，节点属性存储正常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转子总成检查转子定位无偏移，转子吹吸风时平稳切换，无异响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过滤网检查定期清理，无灰尘粘附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配电柜</w:t>
            </w:r>
          </w:p>
        </w:tc>
        <w:tc>
          <w:tcPr>
            <w:tcW w:w="7433" w:type="dxa"/>
            <w:gridSpan w:val="4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主要工作：</w:t>
            </w:r>
          </w:p>
          <w:p>
            <w:pPr>
              <w:pStyle w:val="3"/>
              <w:numPr>
                <w:ilvl w:val="0"/>
                <w:numId w:val="0"/>
              </w:numPr>
              <w:spacing w:after="0" w:line="36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1、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输入电压380V</w:t>
            </w:r>
          </w:p>
          <w:p>
            <w:pPr>
              <w:pStyle w:val="3"/>
              <w:numPr>
                <w:ilvl w:val="0"/>
                <w:numId w:val="0"/>
              </w:numPr>
              <w:spacing w:after="0" w:line="36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输出电压220V</w:t>
            </w:r>
          </w:p>
          <w:p>
            <w:pPr>
              <w:pStyle w:val="3"/>
              <w:numPr>
                <w:ilvl w:val="0"/>
                <w:numId w:val="0"/>
              </w:numPr>
              <w:spacing w:after="0" w:line="36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系统通电正常</w:t>
            </w:r>
          </w:p>
          <w:p>
            <w:pPr>
              <w:pStyle w:val="3"/>
              <w:numPr>
                <w:ilvl w:val="0"/>
                <w:numId w:val="0"/>
              </w:numPr>
              <w:spacing w:after="0" w:line="36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风机保护器工作正常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风机</w:t>
            </w:r>
          </w:p>
        </w:tc>
        <w:tc>
          <w:tcPr>
            <w:tcW w:w="7433" w:type="dxa"/>
            <w:gridSpan w:val="4"/>
            <w:vAlign w:val="center"/>
          </w:tcPr>
          <w:p>
            <w:pPr>
              <w:pStyle w:val="2"/>
              <w:numPr>
                <w:ilvl w:val="0"/>
                <w:numId w:val="2"/>
              </w:numPr>
              <w:spacing w:after="0" w:line="360" w:lineRule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风机是否能正常旋转   </w:t>
            </w:r>
          </w:p>
          <w:p>
            <w:pPr>
              <w:pStyle w:val="2"/>
              <w:numPr>
                <w:ilvl w:val="0"/>
                <w:numId w:val="2"/>
              </w:numPr>
              <w:spacing w:after="0" w:line="360" w:lineRule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风机工作时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无异常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响动  </w:t>
            </w:r>
          </w:p>
          <w:p>
            <w:pPr>
              <w:pStyle w:val="2"/>
              <w:numPr>
                <w:ilvl w:val="0"/>
                <w:numId w:val="2"/>
              </w:numPr>
              <w:spacing w:after="0" w:line="360" w:lineRule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风机固定螺丝是否松动   </w:t>
            </w:r>
          </w:p>
          <w:p>
            <w:pPr>
              <w:pStyle w:val="2"/>
              <w:spacing w:line="360" w:lineRule="auto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、风机排气阀是否牢固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传输瓶</w:t>
            </w:r>
          </w:p>
        </w:tc>
        <w:tc>
          <w:tcPr>
            <w:tcW w:w="7433" w:type="dxa"/>
            <w:gridSpan w:val="4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主要工作：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传输瓶检查瓶盖灵活打开，瓶体完好，无破损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粘扣带检查粘扣带完好无破损、无脱胶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IC卡检查传输瓶两头均能快速读取，卡号与科室对应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0" w:type="dxa"/>
            <w:vAlign w:val="center"/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中心控制器软件</w:t>
            </w:r>
          </w:p>
        </w:tc>
        <w:tc>
          <w:tcPr>
            <w:tcW w:w="7433" w:type="dxa"/>
            <w:gridSpan w:val="4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主要工作：</w:t>
            </w:r>
          </w:p>
          <w:p>
            <w:pPr>
              <w:pStyle w:val="3"/>
              <w:numPr>
                <w:ilvl w:val="0"/>
                <w:numId w:val="0"/>
              </w:numPr>
              <w:spacing w:after="0" w:line="36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1、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主控软件可以正常打开，工作</w:t>
            </w:r>
          </w:p>
          <w:p>
            <w:pPr>
              <w:pStyle w:val="3"/>
              <w:numPr>
                <w:ilvl w:val="0"/>
                <w:numId w:val="0"/>
              </w:numPr>
              <w:spacing w:after="0" w:line="36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软件报警记录正常</w:t>
            </w:r>
          </w:p>
          <w:p>
            <w:pPr>
              <w:pStyle w:val="3"/>
              <w:numPr>
                <w:ilvl w:val="0"/>
                <w:numId w:val="0"/>
              </w:numPr>
              <w:spacing w:after="0" w:line="36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软件详细记录正常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传输管道</w:t>
            </w:r>
          </w:p>
        </w:tc>
        <w:tc>
          <w:tcPr>
            <w:tcW w:w="7433" w:type="dxa"/>
            <w:gridSpan w:val="4"/>
            <w:vAlign w:val="center"/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主要工作：</w:t>
            </w:r>
          </w:p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管道无漏风情况</w:t>
            </w:r>
          </w:p>
          <w:p>
            <w:pPr>
              <w:pStyle w:val="3"/>
              <w:numPr>
                <w:ilvl w:val="0"/>
                <w:numId w:val="0"/>
              </w:numPr>
              <w:spacing w:after="0" w:line="360" w:lineRule="auto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管道无脱开情况</w:t>
            </w:r>
          </w:p>
        </w:tc>
      </w:tr>
    </w:tbl>
    <w:p>
      <w:pPr>
        <w:numPr>
          <w:ilvl w:val="0"/>
          <w:numId w:val="0"/>
        </w:num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>
      <w:pPr>
        <w:numPr>
          <w:ilvl w:val="0"/>
          <w:numId w:val="3"/>
        </w:num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日常维护内容</w:t>
      </w:r>
    </w:p>
    <w:p>
      <w:pPr>
        <w:pStyle w:val="4"/>
        <w:numPr>
          <w:ilvl w:val="0"/>
          <w:numId w:val="0"/>
        </w:numPr>
        <w:tabs>
          <w:tab w:val="left" w:pos="900"/>
        </w:tabs>
        <w:spacing w:line="360" w:lineRule="auto"/>
        <w:ind w:firstLine="240" w:firstLineChars="1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1）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因计算机硬件故障带来的操作系统和物流软件重新安装、数据恢复工作。</w:t>
      </w:r>
    </w:p>
    <w:p>
      <w:pPr>
        <w:pStyle w:val="4"/>
        <w:numPr>
          <w:ilvl w:val="0"/>
          <w:numId w:val="0"/>
        </w:numPr>
        <w:tabs>
          <w:tab w:val="left" w:pos="720"/>
        </w:tabs>
        <w:spacing w:line="360" w:lineRule="auto"/>
        <w:ind w:firstLine="240" w:firstLineChars="1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2）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因计算机中的操作系统的问题带来的操作系统和物流软件重新安装、数据恢复工作。</w:t>
      </w:r>
    </w:p>
    <w:p>
      <w:pPr>
        <w:pStyle w:val="4"/>
        <w:numPr>
          <w:ilvl w:val="0"/>
          <w:numId w:val="0"/>
        </w:numPr>
        <w:spacing w:line="360" w:lineRule="auto"/>
        <w:ind w:firstLine="240" w:firstLineChars="1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3）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因计算机感染病毒带来的操作系统和物流软件重新安装、数据恢复工作。</w:t>
      </w:r>
    </w:p>
    <w:p>
      <w:pPr>
        <w:pStyle w:val="4"/>
        <w:numPr>
          <w:ilvl w:val="0"/>
          <w:numId w:val="0"/>
        </w:numPr>
        <w:spacing w:line="360" w:lineRule="auto"/>
        <w:ind w:firstLine="240" w:firstLineChars="1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4）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及时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向甲方提供乙方最新的物流软件版本。</w:t>
      </w:r>
    </w:p>
    <w:p>
      <w:pPr>
        <w:pStyle w:val="4"/>
        <w:numPr>
          <w:ilvl w:val="0"/>
          <w:numId w:val="0"/>
        </w:numPr>
        <w:spacing w:line="360" w:lineRule="auto"/>
        <w:ind w:firstLine="240" w:firstLineChars="1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5）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每月认真做好设备运行报告、填写站点巡检记录表、故障记录表，每月底装订好交甲方气动物流系统管理人员。</w:t>
      </w:r>
    </w:p>
    <w:p>
      <w:pPr>
        <w:pStyle w:val="4"/>
        <w:numPr>
          <w:ilvl w:val="0"/>
          <w:numId w:val="0"/>
        </w:numPr>
        <w:spacing w:line="360" w:lineRule="auto"/>
        <w:ind w:firstLine="240" w:firstLineChars="1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）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每一个季度对整个物流系统进行全面检查，包含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合同约定的所有设备、零部件的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工作情况，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并出具检测维护报告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。</w:t>
      </w:r>
    </w:p>
    <w:p>
      <w:pPr>
        <w:pStyle w:val="4"/>
        <w:numPr>
          <w:ilvl w:val="0"/>
          <w:numId w:val="0"/>
        </w:numPr>
        <w:spacing w:line="360" w:lineRule="auto"/>
        <w:ind w:firstLine="240" w:firstLineChars="1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7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）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根据甲方的要求，对甲方新招聘的医护人员进行物流操作的培训。</w:t>
      </w:r>
    </w:p>
    <w:p>
      <w:pPr>
        <w:pStyle w:val="4"/>
        <w:numPr>
          <w:ilvl w:val="0"/>
          <w:numId w:val="0"/>
        </w:numPr>
        <w:spacing w:line="360" w:lineRule="auto"/>
        <w:ind w:firstLine="240" w:firstLineChars="1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8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）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乙方的维护工程师处理物流运行过程中出现的疑难问题。</w:t>
      </w:r>
    </w:p>
    <w:p>
      <w:pPr>
        <w:pStyle w:val="4"/>
        <w:numPr>
          <w:ilvl w:val="0"/>
          <w:numId w:val="0"/>
        </w:numPr>
        <w:spacing w:line="360" w:lineRule="auto"/>
        <w:ind w:firstLine="240" w:firstLineChars="1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）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乙方工程师在医院服务时，应自觉遵守甲方管理制度，爱护甲方设备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设施，若有损坏，由甲方负责更换或维修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。</w:t>
      </w:r>
    </w:p>
    <w:p>
      <w:pPr>
        <w:pStyle w:val="4"/>
        <w:numPr>
          <w:ilvl w:val="0"/>
          <w:numId w:val="0"/>
        </w:numPr>
        <w:spacing w:line="360" w:lineRule="auto"/>
        <w:ind w:firstLine="240" w:firstLineChars="1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10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）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物流系统维护所需的备件替代说明：</w:t>
      </w:r>
    </w:p>
    <w:p>
      <w:pPr>
        <w:pStyle w:val="4"/>
        <w:numPr>
          <w:ilvl w:val="0"/>
          <w:numId w:val="0"/>
        </w:numPr>
        <w:spacing w:line="360" w:lineRule="auto"/>
        <w:ind w:firstLine="240" w:firstLineChars="100"/>
        <w:rPr>
          <w:rFonts w:hint="eastAsia" w:asciiTheme="minorEastAsia" w:hAnsiTheme="minorEastAsia" w:eastAsiaTheme="minorEastAsia" w:cstheme="minorEastAsia"/>
          <w:kern w:val="2"/>
          <w:sz w:val="24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）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Hans"/>
        </w:rPr>
        <w:t>乙方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指定专人负责甲方物流系统维护，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Hans"/>
        </w:rPr>
        <w:t>公开维修电话，直接接受甲方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报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Hans"/>
        </w:rPr>
        <w:t>修、报检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kern w:val="2"/>
          <w:sz w:val="24"/>
          <w:szCs w:val="24"/>
          <w:lang w:val="en-US" w:eastAsia="zh-CN" w:bidi="ar-SA"/>
        </w:rPr>
        <w:t>并确保报修电话24小时畅通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。</w:t>
      </w:r>
    </w:p>
    <w:p>
      <w:pPr>
        <w:numPr>
          <w:ilvl w:val="0"/>
          <w:numId w:val="0"/>
        </w:numPr>
        <w:spacing w:line="360" w:lineRule="auto"/>
        <w:ind w:firstLine="240" w:firstLineChars="100"/>
        <w:rPr>
          <w:rFonts w:hint="default" w:asciiTheme="minorEastAsia" w:hAnsiTheme="minorEastAsia" w:eastAsiaTheme="minorEastAsia" w:cstheme="minorEastAsia"/>
          <w:kern w:val="2"/>
          <w:sz w:val="24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2"/>
          <w:sz w:val="24"/>
          <w:szCs w:val="24"/>
          <w:lang w:val="en-US" w:eastAsia="zh-CN" w:bidi="ar-SA"/>
        </w:rPr>
        <w:t>12）</w:t>
      </w:r>
      <w:r>
        <w:rPr>
          <w:rFonts w:hint="eastAsia" w:asciiTheme="minorEastAsia" w:hAnsiTheme="minorEastAsia" w:eastAsiaTheme="minorEastAsia" w:cstheme="minorEastAsia"/>
          <w:kern w:val="2"/>
          <w:sz w:val="24"/>
          <w:szCs w:val="24"/>
          <w:lang w:val="en-US" w:eastAsia="zh-CN" w:bidi="ar-SA"/>
        </w:rPr>
        <w:t>乙方必须保证待命时间7*24小时，30分钟内响应</w:t>
      </w:r>
      <w:r>
        <w:rPr>
          <w:rFonts w:hint="eastAsia" w:asciiTheme="minorEastAsia" w:hAnsiTheme="minorEastAsia" w:cstheme="minorEastAsia"/>
          <w:kern w:val="2"/>
          <w:sz w:val="24"/>
          <w:szCs w:val="24"/>
          <w:lang w:val="en-US" w:eastAsia="zh-CN" w:bidi="ar-SA"/>
        </w:rPr>
        <w:t>。</w:t>
      </w:r>
      <w:r>
        <w:rPr>
          <w:rFonts w:hint="eastAsia" w:asciiTheme="minorEastAsia" w:hAnsiTheme="minorEastAsia" w:eastAsiaTheme="minorEastAsia" w:cstheme="minorEastAsia"/>
          <w:kern w:val="2"/>
          <w:sz w:val="24"/>
          <w:szCs w:val="24"/>
          <w:lang w:val="en-US" w:eastAsia="zh-CN" w:bidi="ar-SA"/>
        </w:rPr>
        <w:t>通过远程网络技术对系统进行监控，如故障在现场不能及时解决的情况下，快速通过远程实现技术支持，保证及时快速响应及解决设备问题</w:t>
      </w:r>
      <w:r>
        <w:rPr>
          <w:rFonts w:hint="eastAsia" w:asciiTheme="minorEastAsia" w:hAnsiTheme="minorEastAsia" w:cstheme="minorEastAsia"/>
          <w:kern w:val="2"/>
          <w:sz w:val="24"/>
          <w:szCs w:val="24"/>
          <w:lang w:val="en-US" w:eastAsia="zh-CN" w:bidi="ar-SA"/>
        </w:rPr>
        <w:t>。</w:t>
      </w:r>
      <w:r>
        <w:rPr>
          <w:rFonts w:hint="eastAsia" w:asciiTheme="minorEastAsia" w:hAnsiTheme="minorEastAsia" w:cstheme="minorEastAsia"/>
          <w:kern w:val="2"/>
          <w:sz w:val="24"/>
          <w:szCs w:val="24"/>
          <w:lang w:val="en-US" w:eastAsia="zh-CN" w:bidi="ar-SA"/>
        </w:rPr>
        <w:t>通过远程网络无法解决的故障需在</w:t>
      </w:r>
      <w:r>
        <w:rPr>
          <w:rFonts w:hint="eastAsia" w:asciiTheme="minorEastAsia" w:hAnsiTheme="minorEastAsia" w:eastAsiaTheme="minorEastAsia" w:cstheme="minorEastAsia"/>
          <w:kern w:val="2"/>
          <w:sz w:val="24"/>
          <w:szCs w:val="24"/>
          <w:lang w:val="en-US" w:eastAsia="zh-CN" w:bidi="ar-SA"/>
        </w:rPr>
        <w:t>2小时内到达现场。</w:t>
      </w:r>
      <w:r>
        <w:rPr>
          <w:rFonts w:hint="eastAsia" w:asciiTheme="minorEastAsia" w:hAnsiTheme="minorEastAsia" w:eastAsiaTheme="minorEastAsia" w:cstheme="minorEastAsia"/>
          <w:kern w:val="2"/>
          <w:sz w:val="24"/>
          <w:szCs w:val="24"/>
          <w:lang w:val="en-US" w:eastAsia="zh-CN" w:bidi="ar-SA"/>
        </w:rPr>
        <w:t>；</w:t>
      </w:r>
    </w:p>
    <w:p>
      <w:pPr>
        <w:numPr>
          <w:ilvl w:val="0"/>
          <w:numId w:val="0"/>
        </w:numPr>
        <w:spacing w:line="360" w:lineRule="auto"/>
        <w:ind w:firstLine="240" w:firstLineChars="100"/>
        <w:rPr>
          <w:rFonts w:hint="eastAsia" w:asciiTheme="minorEastAsia" w:hAnsiTheme="minorEastAsia" w:eastAsiaTheme="minorEastAsia" w:cstheme="minorEastAsia"/>
          <w:kern w:val="2"/>
          <w:sz w:val="24"/>
          <w:szCs w:val="24"/>
          <w:lang w:val="en-US" w:eastAsia="zh-CN" w:bidi="ar-SA"/>
        </w:rPr>
      </w:pPr>
      <w:r>
        <w:rPr>
          <w:rFonts w:hint="eastAsia" w:asciiTheme="minorEastAsia" w:hAnsiTheme="minorEastAsia" w:cstheme="minorEastAsia"/>
          <w:kern w:val="2"/>
          <w:sz w:val="24"/>
          <w:szCs w:val="24"/>
          <w:lang w:val="en-US" w:eastAsia="zh-CN" w:bidi="ar-SA"/>
        </w:rPr>
        <w:t>13）</w:t>
      </w:r>
      <w:r>
        <w:rPr>
          <w:rFonts w:hint="eastAsia" w:asciiTheme="minorEastAsia" w:hAnsiTheme="minorEastAsia" w:eastAsiaTheme="minorEastAsia" w:cstheme="minorEastAsia"/>
          <w:kern w:val="2"/>
          <w:sz w:val="24"/>
          <w:szCs w:val="24"/>
          <w:lang w:val="en-US" w:eastAsia="zh-CN" w:bidi="ar-SA"/>
        </w:rPr>
        <w:t>甲方有权要求乙方更换不符合甲方工作要求的维保人员。</w:t>
      </w:r>
    </w:p>
    <w:p>
      <w:pPr>
        <w:numPr>
          <w:ilvl w:val="0"/>
          <w:numId w:val="0"/>
        </w:numPr>
        <w:spacing w:line="360" w:lineRule="auto"/>
        <w:ind w:firstLine="241" w:firstLineChars="100"/>
        <w:rPr>
          <w:rFonts w:hint="eastAsia" w:asciiTheme="minorEastAsia" w:hAnsiTheme="minorEastAsia" w:eastAsiaTheme="minorEastAsia" w:cstheme="minorEastAsia"/>
          <w:b/>
          <w:bCs/>
          <w:kern w:val="2"/>
          <w:sz w:val="24"/>
          <w:szCs w:val="24"/>
          <w:lang w:val="en-US" w:eastAsia="zh-CN" w:bidi="ar-SA"/>
        </w:rPr>
      </w:pPr>
      <w:bookmarkStart w:id="1" w:name="_GoBack"/>
      <w:bookmarkEnd w:id="1"/>
    </w:p>
    <w:p>
      <w:pPr>
        <w:numPr>
          <w:ilvl w:val="0"/>
          <w:numId w:val="0"/>
        </w:numPr>
        <w:tabs>
          <w:tab w:val="left" w:pos="840"/>
        </w:tabs>
        <w:spacing w:line="360" w:lineRule="auto"/>
        <w:rPr>
          <w:rFonts w:hint="default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4"/>
          <w:szCs w:val="24"/>
          <w:lang w:eastAsia="zh-CN"/>
        </w:rPr>
        <w:t>预算费用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：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5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>万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元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>配件费根据实际产生情况另外结算。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spacing w:line="360" w:lineRule="auto"/>
              <w:jc w:val="left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配件列表如下：</w:t>
            </w:r>
          </w:p>
        </w:tc>
      </w:tr>
    </w:tbl>
    <w:tbl>
      <w:tblPr>
        <w:tblStyle w:val="5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774"/>
        <w:gridCol w:w="3066"/>
        <w:gridCol w:w="682"/>
        <w:gridCol w:w="1176"/>
        <w:gridCol w:w="11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bookmarkStart w:id="0" w:name="RANGE!A1"/>
            <w:r>
              <w:rPr>
                <w:rFonts w:hint="eastAsia" w:ascii="宋体" w:hAnsi="宋体" w:cs="宋体"/>
                <w:kern w:val="0"/>
                <w:szCs w:val="21"/>
              </w:rPr>
              <w:t>序号</w:t>
            </w:r>
            <w:bookmarkEnd w:id="0"/>
          </w:p>
        </w:tc>
        <w:tc>
          <w:tcPr>
            <w:tcW w:w="1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设备名称</w:t>
            </w:r>
          </w:p>
        </w:tc>
        <w:tc>
          <w:tcPr>
            <w:tcW w:w="30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型 号</w:t>
            </w:r>
          </w:p>
        </w:tc>
        <w:tc>
          <w:tcPr>
            <w:tcW w:w="6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单位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报</w:t>
            </w:r>
            <w:r>
              <w:rPr>
                <w:rFonts w:hint="eastAsia" w:ascii="宋体" w:hAnsi="宋体" w:cs="宋体"/>
                <w:kern w:val="0"/>
                <w:szCs w:val="21"/>
              </w:rPr>
              <w:t>价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三向换向器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REV-160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台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上截止端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UP-160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套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下截止端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BU-160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套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三向阀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REV-75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台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智能传输瓶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160*390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个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传输瓶缓冲塞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160*390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对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传输瓶封装袋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160*390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个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传输瓶试管袋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160*390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个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传输瓶挂架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160*390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个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回收装置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160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套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刹车装置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160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套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过滤器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∮75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套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缓冲管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∮75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个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压缩机保护器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160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台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中心控制器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CCS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台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总线控制卡线缆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CAN-PC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条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17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专用控制线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CAB-5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米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18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电源控制箱（含配件）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PW-1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台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19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系统监控卡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ST160A-01C-03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块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20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物流专用管道（直管或弯管）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U-PVC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根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21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消毒瓶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160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只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22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电源适配器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ST160C-04C-02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块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23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系统转换器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REV-160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台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24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站箱主控板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A</w:t>
            </w:r>
            <w:r>
              <w:rPr>
                <w:rFonts w:hint="eastAsia" w:ascii="宋体" w:hAnsi="宋体"/>
                <w:kern w:val="0"/>
                <w:szCs w:val="21"/>
              </w:rPr>
              <w:t>型</w:t>
            </w:r>
            <w:r>
              <w:rPr>
                <w:kern w:val="0"/>
                <w:szCs w:val="21"/>
              </w:rPr>
              <w:t>/B</w:t>
            </w:r>
            <w:r>
              <w:rPr>
                <w:rFonts w:hint="eastAsia" w:ascii="宋体" w:hAnsi="宋体"/>
                <w:kern w:val="0"/>
                <w:szCs w:val="21"/>
              </w:rPr>
              <w:t>型</w:t>
            </w:r>
            <w:r>
              <w:rPr>
                <w:kern w:val="0"/>
                <w:szCs w:val="21"/>
              </w:rPr>
              <w:t>/C</w:t>
            </w:r>
            <w:r>
              <w:rPr>
                <w:rFonts w:hint="eastAsia" w:ascii="宋体" w:hAnsi="宋体"/>
                <w:kern w:val="0"/>
                <w:szCs w:val="21"/>
              </w:rPr>
              <w:t>型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块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25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液晶显示屏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</w:t>
            </w:r>
            <w:r>
              <w:rPr>
                <w:rFonts w:hint="eastAsia" w:ascii="宋体" w:hAnsi="宋体"/>
                <w:kern w:val="0"/>
                <w:szCs w:val="21"/>
              </w:rPr>
              <w:t>英寸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块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26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液晶灯管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</w:t>
            </w:r>
            <w:r>
              <w:rPr>
                <w:rFonts w:hint="eastAsia" w:ascii="宋体" w:hAnsi="宋体"/>
                <w:kern w:val="0"/>
                <w:szCs w:val="21"/>
              </w:rPr>
              <w:t>英寸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根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27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站箱键盘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A型/B型/C型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个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28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站箱电源板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A</w:t>
            </w:r>
            <w:r>
              <w:rPr>
                <w:rFonts w:hint="eastAsia" w:ascii="宋体" w:hAnsi="宋体"/>
                <w:kern w:val="0"/>
                <w:szCs w:val="21"/>
              </w:rPr>
              <w:t>型</w:t>
            </w:r>
            <w:r>
              <w:rPr>
                <w:kern w:val="0"/>
                <w:szCs w:val="21"/>
              </w:rPr>
              <w:t>/B</w:t>
            </w:r>
            <w:r>
              <w:rPr>
                <w:rFonts w:hint="eastAsia" w:ascii="宋体" w:hAnsi="宋体"/>
                <w:kern w:val="0"/>
                <w:szCs w:val="21"/>
              </w:rPr>
              <w:t>型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块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29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换向器、三向阀电控板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A</w:t>
            </w:r>
            <w:r>
              <w:rPr>
                <w:rFonts w:hint="eastAsia" w:ascii="宋体" w:hAnsi="宋体"/>
                <w:kern w:val="0"/>
                <w:szCs w:val="21"/>
              </w:rPr>
              <w:t>型</w:t>
            </w:r>
            <w:r>
              <w:rPr>
                <w:kern w:val="0"/>
                <w:szCs w:val="21"/>
              </w:rPr>
              <w:t>/C</w:t>
            </w:r>
            <w:r>
              <w:rPr>
                <w:rFonts w:hint="eastAsia" w:ascii="宋体" w:hAnsi="宋体"/>
                <w:kern w:val="0"/>
                <w:szCs w:val="21"/>
              </w:rPr>
              <w:t>型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块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30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三向阀主控板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160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块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31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线束连接板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C</w:t>
            </w:r>
            <w:r>
              <w:rPr>
                <w:rFonts w:hint="eastAsia" w:ascii="宋体" w:hAnsi="宋体"/>
                <w:kern w:val="0"/>
                <w:szCs w:val="21"/>
              </w:rPr>
              <w:t>型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块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32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标准总线控制卡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CAN-1(A/B)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块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33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智能总线控制卡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CAN-2(C)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块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34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总线集线器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446747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块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35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传输瓶传感器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160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个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36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自动门精密直流减速器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D59-2430L-（40-50RPM）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台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37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主轴精密直流减速器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D63-2460L-150（C型站）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台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38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主轴精密直流减速器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d63-2460L-45（三向阀，换向器，A型/B型站）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台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39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读卡器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K4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个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40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传输瓶</w:t>
            </w:r>
            <w:r>
              <w:rPr>
                <w:kern w:val="0"/>
                <w:szCs w:val="21"/>
              </w:rPr>
              <w:t>IC</w:t>
            </w:r>
            <w:r>
              <w:rPr>
                <w:rFonts w:hint="eastAsia" w:ascii="宋体" w:hAnsi="宋体" w:cs="宋体"/>
                <w:kern w:val="0"/>
                <w:szCs w:val="21"/>
              </w:rPr>
              <w:t>卡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160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片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41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传输瓶密封环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160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条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42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传输瓶胶圈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160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个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43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传输瓶阻风圈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160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个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44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接瓶筐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160*390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个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45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接收垫（接收筐内配）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160*390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个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46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高精度电位器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160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个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47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编码器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C</w:t>
            </w:r>
            <w:r>
              <w:rPr>
                <w:rFonts w:hint="eastAsia" w:ascii="宋体" w:hAnsi="宋体"/>
                <w:kern w:val="0"/>
                <w:szCs w:val="21"/>
              </w:rPr>
              <w:t>型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个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48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同步齿带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工作站、换向器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条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49</w:t>
            </w:r>
          </w:p>
        </w:tc>
        <w:tc>
          <w:tcPr>
            <w:tcW w:w="177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同步带轮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工作站</w:t>
            </w:r>
            <w:r>
              <w:rPr>
                <w:kern w:val="0"/>
                <w:szCs w:val="21"/>
              </w:rPr>
              <w:t>A/B/C</w:t>
            </w:r>
            <w:r>
              <w:rPr>
                <w:rFonts w:hint="eastAsia" w:ascii="宋体" w:hAnsi="宋体" w:cs="宋体"/>
                <w:kern w:val="0"/>
                <w:szCs w:val="21"/>
              </w:rPr>
              <w:t>站</w:t>
            </w:r>
          </w:p>
        </w:tc>
        <w:tc>
          <w:tcPr>
            <w:tcW w:w="68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个</w:t>
            </w:r>
          </w:p>
        </w:tc>
        <w:tc>
          <w:tcPr>
            <w:tcW w:w="11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7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换向器</w:t>
            </w:r>
          </w:p>
        </w:tc>
        <w:tc>
          <w:tcPr>
            <w:tcW w:w="68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50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玻璃门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工作站</w:t>
            </w:r>
            <w:r>
              <w:rPr>
                <w:kern w:val="0"/>
                <w:szCs w:val="21"/>
              </w:rPr>
              <w:t>A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个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51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玻璃门磁碰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工作站</w:t>
            </w:r>
            <w:r>
              <w:rPr>
                <w:kern w:val="0"/>
                <w:szCs w:val="21"/>
              </w:rPr>
              <w:t>A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个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52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自动门总成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C</w:t>
            </w:r>
            <w:r>
              <w:rPr>
                <w:rFonts w:hint="eastAsia" w:ascii="宋体" w:hAnsi="宋体"/>
                <w:kern w:val="0"/>
                <w:szCs w:val="21"/>
              </w:rPr>
              <w:t>型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个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53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电磁铁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工作站</w:t>
            </w:r>
            <w:r>
              <w:rPr>
                <w:kern w:val="0"/>
                <w:szCs w:val="21"/>
              </w:rPr>
              <w:t>B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个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54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激光管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工作站</w:t>
            </w:r>
            <w:r>
              <w:rPr>
                <w:kern w:val="0"/>
                <w:szCs w:val="21"/>
              </w:rPr>
              <w:t>B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个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55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激光定位板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工作站</w:t>
            </w:r>
            <w:r>
              <w:rPr>
                <w:kern w:val="0"/>
                <w:szCs w:val="21"/>
              </w:rPr>
              <w:t>B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个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56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霍尔定位板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工作站</w:t>
            </w:r>
            <w:r>
              <w:rPr>
                <w:kern w:val="0"/>
                <w:szCs w:val="21"/>
              </w:rPr>
              <w:t>B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个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57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圆形密封圈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工作站</w:t>
            </w:r>
            <w:r>
              <w:rPr>
                <w:kern w:val="0"/>
                <w:szCs w:val="21"/>
              </w:rPr>
              <w:t>A/B</w:t>
            </w:r>
            <w:r>
              <w:rPr>
                <w:rFonts w:hint="eastAsia" w:ascii="宋体" w:hAnsi="宋体" w:cs="宋体"/>
                <w:kern w:val="0"/>
                <w:szCs w:val="21"/>
              </w:rPr>
              <w:t>，换向器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个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58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椭圆形密封圈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工作站</w:t>
            </w:r>
            <w:r>
              <w:rPr>
                <w:kern w:val="0"/>
                <w:szCs w:val="21"/>
              </w:rPr>
              <w:t>A/B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只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59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密封圈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三向阀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个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60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弹性圈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通用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个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61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海绵接收垫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工作站</w:t>
            </w:r>
            <w:r>
              <w:rPr>
                <w:kern w:val="0"/>
                <w:szCs w:val="21"/>
              </w:rPr>
              <w:t>A/C</w:t>
            </w:r>
            <w:r>
              <w:rPr>
                <w:rFonts w:hint="eastAsia" w:ascii="宋体" w:hAnsi="宋体" w:cs="宋体"/>
                <w:kern w:val="0"/>
                <w:szCs w:val="21"/>
              </w:rPr>
              <w:t>型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个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62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发送缓冲垫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工作站</w:t>
            </w:r>
            <w:r>
              <w:rPr>
                <w:kern w:val="0"/>
                <w:szCs w:val="21"/>
              </w:rPr>
              <w:t>B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个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63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传输瓶旋转盖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160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个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64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下固定板套装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160A 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套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65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电池</w:t>
            </w:r>
            <w:r>
              <w:rPr>
                <w:kern w:val="0"/>
                <w:szCs w:val="21"/>
              </w:rPr>
              <w:t>20M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CR2032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块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66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空气压缩机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GHBH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台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67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换向器专用工具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160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个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68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专用手操器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160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台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69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传输瓶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110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个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70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万能手操器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160/110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台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71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光电传感器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110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个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72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单片机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P89v51rd2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个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73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交流接触器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LC1E3210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个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74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交流接触器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LC1E1810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个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75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胶带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灰色</w:t>
            </w:r>
            <w:r>
              <w:rPr>
                <w:kern w:val="0"/>
                <w:szCs w:val="21"/>
              </w:rPr>
              <w:t>PVC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卷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76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变径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75</w:t>
            </w:r>
            <w:r>
              <w:rPr>
                <w:rFonts w:hint="eastAsia" w:ascii="宋体" w:hAnsi="宋体"/>
                <w:kern w:val="0"/>
                <w:szCs w:val="21"/>
              </w:rPr>
              <w:t>、</w:t>
            </w:r>
            <w:r>
              <w:rPr>
                <w:kern w:val="0"/>
                <w:szCs w:val="21"/>
              </w:rPr>
              <w:t>63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个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77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混合胶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哥俩好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盒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>
      <w:pPr>
        <w:spacing w:line="300" w:lineRule="exact"/>
        <w:rPr>
          <w:rFonts w:hint="eastAsia"/>
          <w:sz w:val="24"/>
        </w:rPr>
      </w:pPr>
    </w:p>
    <w:p>
      <w:pPr>
        <w:spacing w:line="300" w:lineRule="exact"/>
        <w:rPr>
          <w:rFonts w:hint="eastAsia"/>
          <w:sz w:val="24"/>
        </w:rPr>
      </w:pPr>
    </w:p>
    <w:p>
      <w:pPr>
        <w:spacing w:line="360" w:lineRule="auto"/>
        <w:rPr>
          <w:rFonts w:hint="eastAsia"/>
          <w:sz w:val="24"/>
        </w:rPr>
      </w:pPr>
    </w:p>
    <w:p>
      <w:pPr>
        <w:spacing w:line="360" w:lineRule="auto"/>
        <w:rPr>
          <w:rFonts w:hint="eastAsia"/>
          <w:sz w:val="24"/>
        </w:rPr>
      </w:pPr>
    </w:p>
    <w:p>
      <w:pPr>
        <w:spacing w:line="360" w:lineRule="auto"/>
        <w:rPr>
          <w:rFonts w:hint="eastAsia"/>
          <w:sz w:val="24"/>
        </w:rPr>
      </w:pPr>
    </w:p>
    <w:p>
      <w:pPr>
        <w:spacing w:line="360" w:lineRule="auto"/>
        <w:rPr>
          <w:rFonts w:hint="eastAsia"/>
          <w:sz w:val="24"/>
        </w:rPr>
      </w:pPr>
    </w:p>
    <w:p>
      <w:pPr>
        <w:spacing w:line="360" w:lineRule="auto"/>
        <w:rPr>
          <w:rFonts w:hint="eastAsia"/>
          <w:sz w:val="24"/>
        </w:rPr>
      </w:pPr>
    </w:p>
    <w:p>
      <w:pPr>
        <w:spacing w:line="360" w:lineRule="auto"/>
        <w:rPr>
          <w:rFonts w:hint="eastAsia"/>
          <w:sz w:val="24"/>
        </w:rPr>
      </w:pPr>
    </w:p>
    <w:p>
      <w:pPr>
        <w:spacing w:line="360" w:lineRule="auto"/>
        <w:rPr>
          <w:rFonts w:hint="eastAsia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28443B1"/>
    <w:multiLevelType w:val="singleLevel"/>
    <w:tmpl w:val="B28443B1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F54C89A2"/>
    <w:multiLevelType w:val="singleLevel"/>
    <w:tmpl w:val="F54C89A2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FB81D124"/>
    <w:multiLevelType w:val="singleLevel"/>
    <w:tmpl w:val="FB81D12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3B0737"/>
    <w:rsid w:val="1AF17C5F"/>
    <w:rsid w:val="59AE068F"/>
    <w:rsid w:val="59C94A3F"/>
    <w:rsid w:val="65D55351"/>
    <w:rsid w:val="6DA306A6"/>
    <w:rsid w:val="7A025555"/>
    <w:rsid w:val="7B3B0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/>
    </w:pPr>
  </w:style>
  <w:style w:type="paragraph" w:styleId="3">
    <w:name w:val="Body Text Indent"/>
    <w:basedOn w:val="1"/>
    <w:qFormat/>
    <w:uiPriority w:val="0"/>
    <w:pPr>
      <w:ind w:firstLine="420" w:firstLineChars="200"/>
    </w:pPr>
    <w:rPr>
      <w:color w:val="000000"/>
    </w:rPr>
  </w:style>
  <w:style w:type="paragraph" w:styleId="4">
    <w:name w:val="Body Text Indent 2"/>
    <w:basedOn w:val="1"/>
    <w:qFormat/>
    <w:uiPriority w:val="0"/>
    <w:pPr>
      <w:tabs>
        <w:tab w:val="left" w:pos="540"/>
      </w:tabs>
      <w:spacing w:line="360" w:lineRule="auto"/>
      <w:ind w:left="540" w:leftChars="257" w:firstLine="518" w:firstLineChars="185"/>
    </w:pPr>
    <w:rPr>
      <w:sz w:val="28"/>
      <w:szCs w:val="20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60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2020-07-27T01:49:00Z</dcterms:created>
  <dc:creator>......</dc:creator>
  <cp:lastModifiedBy>......</cp:lastModifiedBy>
  <dcterms:modified xsi:type="dcterms:W3CDTF">2020-07-27T05:19:38Z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