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spacing w:val="40"/>
          <w:sz w:val="32"/>
          <w:szCs w:val="32"/>
          <w:highlight w:val="none"/>
          <w:lang w:val="en-US" w:eastAsia="zh-CN"/>
        </w:rPr>
        <w:t>传染病监测预警智能前置</w:t>
      </w:r>
      <w:r>
        <w:rPr>
          <w:rFonts w:hint="eastAsia" w:ascii="宋体" w:hAnsi="宋体" w:cs="宋体"/>
          <w:b/>
          <w:bCs/>
          <w:spacing w:val="40"/>
          <w:sz w:val="32"/>
          <w:szCs w:val="32"/>
          <w:highlight w:val="none"/>
          <w:lang w:val="en-US" w:eastAsia="zh-CN"/>
        </w:rPr>
        <w:t>软件采购</w:t>
      </w:r>
      <w:r>
        <w:rPr>
          <w:rFonts w:hint="eastAsia" w:ascii="宋体" w:hAnsi="宋体" w:eastAsia="宋体" w:cs="宋体"/>
          <w:b/>
          <w:bCs/>
          <w:color w:val="000000"/>
          <w:kern w:val="0"/>
          <w:sz w:val="32"/>
          <w:szCs w:val="32"/>
          <w:highlight w:val="none"/>
          <w:lang w:val="en-US" w:eastAsia="zh-CN"/>
        </w:rPr>
        <w:t>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十一</w:t>
      </w:r>
      <w:r>
        <w:rPr>
          <w:rFonts w:hint="eastAsia" w:ascii="新宋体" w:hAnsi="新宋体" w:eastAsia="新宋体"/>
          <w:b/>
          <w:bCs/>
          <w:spacing w:val="40"/>
          <w:sz w:val="32"/>
          <w:szCs w:val="28"/>
          <w:highlight w:val="none"/>
        </w:rPr>
        <w:t>月</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传染病监测预警智能前置软件采购项目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传染病监测预警智能前置软件采购项目  </w:t>
      </w:r>
    </w:p>
    <w:p w14:paraId="56294008">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89000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0"/>
          <w:rFonts w:hint="eastAsia" w:ascii="宋体" w:hAnsi="宋体" w:eastAsia="宋体" w:cs="宋体"/>
          <w:color w:val="000000"/>
          <w:sz w:val="24"/>
          <w:szCs w:val="24"/>
          <w:highlight w:val="none"/>
          <w:shd w:val="clear" w:color="auto" w:fill="FFFFFF"/>
        </w:rPr>
      </w:pPr>
      <w:r>
        <w:rPr>
          <w:rStyle w:val="20"/>
          <w:rFonts w:hint="eastAsia" w:ascii="宋体" w:hAnsi="宋体" w:eastAsia="宋体" w:cs="宋体"/>
          <w:color w:val="000000"/>
          <w:sz w:val="24"/>
          <w:szCs w:val="24"/>
          <w:highlight w:val="none"/>
          <w:shd w:val="clear" w:color="auto" w:fill="FFFFFF"/>
        </w:rPr>
        <w:t>投标人报价不得超过</w:t>
      </w:r>
      <w:r>
        <w:rPr>
          <w:rStyle w:val="20"/>
          <w:rFonts w:hint="eastAsia" w:ascii="宋体" w:hAnsi="宋体" w:eastAsia="宋体" w:cs="宋体"/>
          <w:color w:val="000000"/>
          <w:sz w:val="24"/>
          <w:szCs w:val="24"/>
          <w:highlight w:val="none"/>
          <w:shd w:val="clear" w:color="auto" w:fill="FFFFFF"/>
          <w:lang w:eastAsia="zh-CN"/>
        </w:rPr>
        <w:t>最高限价</w:t>
      </w:r>
      <w:r>
        <w:rPr>
          <w:rStyle w:val="20"/>
          <w:rFonts w:hint="eastAsia" w:ascii="宋体" w:hAnsi="宋体" w:eastAsia="宋体" w:cs="宋体"/>
          <w:color w:val="000000"/>
          <w:sz w:val="24"/>
          <w:szCs w:val="24"/>
          <w:highlight w:val="none"/>
          <w:shd w:val="clear" w:color="auto" w:fill="FFFFFF"/>
        </w:rPr>
        <w:t>金额，否则当无效标处理。</w:t>
      </w:r>
    </w:p>
    <w:p w14:paraId="4E89FF6D">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28</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28</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7D03B432">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28</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28</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4"/>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4"/>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0"/>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21</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4"/>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4"/>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传染病监测预警智能前置软件采购项目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890</w:t>
      </w:r>
      <w:r>
        <w:rPr>
          <w:rFonts w:hint="eastAsia" w:ascii="宋体" w:hAnsi="宋体"/>
          <w:sz w:val="28"/>
          <w:szCs w:val="28"/>
          <w:highlight w:val="none"/>
        </w:rPr>
        <w:t>00元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要求</w:t>
      </w:r>
      <w:r>
        <w:rPr>
          <w:rFonts w:hint="eastAsia" w:ascii="宋体" w:hAnsi="宋体"/>
          <w:sz w:val="28"/>
          <w:szCs w:val="28"/>
          <w:highlight w:val="none"/>
        </w:rPr>
        <w:t>：</w:t>
      </w:r>
      <w:r>
        <w:rPr>
          <w:rFonts w:hint="eastAsia" w:ascii="宋体" w:hAnsi="宋体"/>
          <w:sz w:val="28"/>
          <w:szCs w:val="28"/>
          <w:highlight w:val="none"/>
          <w:lang w:eastAsia="zh-CN"/>
        </w:rPr>
        <w:t>详见清单</w:t>
      </w:r>
    </w:p>
    <w:p w14:paraId="44E701B0">
      <w:pPr>
        <w:numPr>
          <w:ilvl w:val="0"/>
          <w:numId w:val="2"/>
        </w:numPr>
        <w:spacing w:line="360" w:lineRule="auto"/>
        <w:rPr>
          <w:rFonts w:hint="eastAsia"/>
          <w:b/>
          <w:bCs/>
          <w:sz w:val="28"/>
          <w:szCs w:val="28"/>
          <w:highlight w:val="none"/>
          <w:lang w:eastAsia="zh-CN"/>
        </w:rPr>
      </w:pPr>
      <w:r>
        <w:rPr>
          <w:rFonts w:hint="eastAsia"/>
          <w:b/>
          <w:bCs/>
          <w:sz w:val="28"/>
          <w:szCs w:val="28"/>
          <w:highlight w:val="none"/>
          <w:lang w:eastAsia="zh-CN"/>
        </w:rPr>
        <w:t>采购内容</w:t>
      </w:r>
    </w:p>
    <w:tbl>
      <w:tblPr>
        <w:tblStyle w:val="17"/>
        <w:tblW w:w="83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993"/>
        <w:gridCol w:w="1003"/>
        <w:gridCol w:w="3493"/>
      </w:tblGrid>
      <w:tr w14:paraId="42BF5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835" w:type="dxa"/>
            <w:tcBorders>
              <w:top w:val="single" w:color="auto" w:sz="4" w:space="0"/>
              <w:left w:val="single" w:color="auto" w:sz="4" w:space="0"/>
              <w:bottom w:val="single" w:color="auto" w:sz="4" w:space="0"/>
              <w:right w:val="single" w:color="auto" w:sz="4" w:space="0"/>
            </w:tcBorders>
            <w:noWrap w:val="0"/>
            <w:vAlign w:val="center"/>
          </w:tcPr>
          <w:p w14:paraId="64F2768E">
            <w:pPr>
              <w:widowControl/>
              <w:snapToGrid w:val="0"/>
              <w:spacing w:line="460" w:lineRule="exact"/>
              <w:jc w:val="center"/>
              <w:rPr>
                <w:rFonts w:hint="eastAsia" w:ascii="宋体" w:hAnsi="宋体" w:eastAsia="宋体" w:cs="宋体"/>
                <w:sz w:val="28"/>
                <w:szCs w:val="28"/>
              </w:rPr>
            </w:pPr>
            <w:r>
              <w:rPr>
                <w:rFonts w:hint="eastAsia" w:ascii="宋体" w:hAnsi="宋体" w:eastAsia="宋体" w:cs="宋体"/>
                <w:kern w:val="0"/>
                <w:sz w:val="28"/>
                <w:szCs w:val="28"/>
              </w:rPr>
              <w:t>项目内容</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19FE924D">
            <w:pPr>
              <w:widowControl/>
              <w:snapToGrid w:val="0"/>
              <w:spacing w:line="460" w:lineRule="exact"/>
              <w:jc w:val="center"/>
              <w:rPr>
                <w:rFonts w:hint="eastAsia" w:ascii="宋体" w:hAnsi="宋体" w:eastAsia="宋体" w:cs="宋体"/>
                <w:sz w:val="28"/>
                <w:szCs w:val="28"/>
              </w:rPr>
            </w:pPr>
            <w:r>
              <w:rPr>
                <w:rFonts w:hint="eastAsia" w:ascii="宋体" w:hAnsi="宋体" w:eastAsia="宋体" w:cs="宋体"/>
                <w:kern w:val="0"/>
                <w:sz w:val="28"/>
                <w:szCs w:val="28"/>
              </w:rPr>
              <w:t>数量</w:t>
            </w:r>
          </w:p>
        </w:tc>
        <w:tc>
          <w:tcPr>
            <w:tcW w:w="1003" w:type="dxa"/>
            <w:tcBorders>
              <w:top w:val="single" w:color="auto" w:sz="4" w:space="0"/>
              <w:left w:val="single" w:color="auto" w:sz="4" w:space="0"/>
              <w:bottom w:val="single" w:color="auto" w:sz="4" w:space="0"/>
              <w:right w:val="single" w:color="auto" w:sz="4" w:space="0"/>
            </w:tcBorders>
            <w:noWrap w:val="0"/>
            <w:vAlign w:val="center"/>
          </w:tcPr>
          <w:p w14:paraId="719BD707">
            <w:pPr>
              <w:widowControl/>
              <w:snapToGrid w:val="0"/>
              <w:spacing w:line="460" w:lineRule="exact"/>
              <w:jc w:val="center"/>
              <w:rPr>
                <w:rFonts w:hint="eastAsia" w:ascii="宋体" w:hAnsi="宋体" w:eastAsia="宋体" w:cs="宋体"/>
                <w:sz w:val="28"/>
                <w:szCs w:val="28"/>
              </w:rPr>
            </w:pPr>
            <w:r>
              <w:rPr>
                <w:rFonts w:hint="eastAsia" w:ascii="宋体" w:hAnsi="宋体" w:eastAsia="宋体" w:cs="宋体"/>
                <w:kern w:val="0"/>
                <w:sz w:val="28"/>
                <w:szCs w:val="28"/>
              </w:rPr>
              <w:t>单位</w:t>
            </w:r>
          </w:p>
        </w:tc>
        <w:tc>
          <w:tcPr>
            <w:tcW w:w="3493" w:type="dxa"/>
            <w:tcBorders>
              <w:top w:val="single" w:color="auto" w:sz="4" w:space="0"/>
              <w:left w:val="single" w:color="auto" w:sz="4" w:space="0"/>
              <w:bottom w:val="single" w:color="auto" w:sz="4" w:space="0"/>
              <w:right w:val="single" w:color="auto" w:sz="4" w:space="0"/>
            </w:tcBorders>
            <w:noWrap w:val="0"/>
            <w:vAlign w:val="center"/>
          </w:tcPr>
          <w:p w14:paraId="17918133">
            <w:pPr>
              <w:widowControl/>
              <w:snapToGrid w:val="0"/>
              <w:spacing w:line="460" w:lineRule="exact"/>
              <w:jc w:val="center"/>
              <w:rPr>
                <w:rFonts w:hint="eastAsia" w:ascii="宋体" w:hAnsi="宋体" w:eastAsia="宋体" w:cs="宋体"/>
                <w:sz w:val="28"/>
                <w:szCs w:val="28"/>
              </w:rPr>
            </w:pPr>
            <w:r>
              <w:rPr>
                <w:rFonts w:hint="eastAsia" w:ascii="宋体" w:hAnsi="宋体" w:eastAsia="宋体" w:cs="宋体"/>
                <w:kern w:val="0"/>
                <w:sz w:val="28"/>
                <w:szCs w:val="28"/>
              </w:rPr>
              <w:t>预算金额</w:t>
            </w:r>
          </w:p>
        </w:tc>
      </w:tr>
      <w:tr w14:paraId="1FAC8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2835" w:type="dxa"/>
            <w:tcBorders>
              <w:top w:val="single" w:color="auto" w:sz="4" w:space="0"/>
              <w:left w:val="single" w:color="auto" w:sz="4" w:space="0"/>
              <w:bottom w:val="single" w:color="auto" w:sz="4" w:space="0"/>
              <w:right w:val="single" w:color="auto" w:sz="4" w:space="0"/>
            </w:tcBorders>
            <w:noWrap w:val="0"/>
            <w:vAlign w:val="center"/>
          </w:tcPr>
          <w:p w14:paraId="6926F703">
            <w:pPr>
              <w:widowControl/>
              <w:snapToGrid w:val="0"/>
              <w:spacing w:line="460" w:lineRule="exact"/>
              <w:jc w:val="center"/>
              <w:rPr>
                <w:rFonts w:hint="eastAsia" w:ascii="宋体" w:hAnsi="宋体" w:eastAsia="宋体" w:cs="宋体"/>
                <w:sz w:val="28"/>
                <w:szCs w:val="28"/>
              </w:rPr>
            </w:pPr>
            <w:r>
              <w:rPr>
                <w:rFonts w:hint="eastAsia" w:ascii="宋体" w:hAnsi="宋体" w:eastAsia="宋体" w:cs="宋体"/>
                <w:sz w:val="28"/>
                <w:szCs w:val="28"/>
                <w:lang w:val="en-US" w:eastAsia="zh-CN"/>
              </w:rPr>
              <w:t>国家传染病智能监测预警</w:t>
            </w:r>
            <w:r>
              <w:rPr>
                <w:rFonts w:hint="eastAsia" w:ascii="宋体" w:hAnsi="宋体" w:eastAsia="宋体" w:cs="宋体"/>
                <w:sz w:val="28"/>
                <w:szCs w:val="28"/>
              </w:rPr>
              <w:t>前置</w:t>
            </w:r>
            <w:r>
              <w:rPr>
                <w:rFonts w:hint="eastAsia" w:ascii="宋体" w:hAnsi="宋体" w:eastAsia="宋体" w:cs="宋体"/>
                <w:sz w:val="28"/>
                <w:szCs w:val="28"/>
                <w:lang w:val="en-US" w:eastAsia="zh-CN"/>
              </w:rPr>
              <w:t>机采购</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0652B12C">
            <w:pPr>
              <w:widowControl/>
              <w:snapToGrid w:val="0"/>
              <w:spacing w:line="460" w:lineRule="exact"/>
              <w:jc w:val="center"/>
              <w:rPr>
                <w:rFonts w:hint="eastAsia" w:ascii="宋体" w:hAnsi="宋体" w:eastAsia="宋体" w:cs="宋体"/>
                <w:sz w:val="28"/>
                <w:szCs w:val="28"/>
              </w:rPr>
            </w:pPr>
            <w:r>
              <w:rPr>
                <w:rFonts w:hint="eastAsia" w:ascii="宋体" w:hAnsi="宋体" w:eastAsia="宋体" w:cs="宋体"/>
                <w:kern w:val="0"/>
                <w:sz w:val="28"/>
                <w:szCs w:val="28"/>
              </w:rPr>
              <w:t>1</w:t>
            </w:r>
          </w:p>
        </w:tc>
        <w:tc>
          <w:tcPr>
            <w:tcW w:w="1003" w:type="dxa"/>
            <w:tcBorders>
              <w:top w:val="single" w:color="auto" w:sz="4" w:space="0"/>
              <w:left w:val="single" w:color="auto" w:sz="4" w:space="0"/>
              <w:bottom w:val="single" w:color="auto" w:sz="4" w:space="0"/>
              <w:right w:val="single" w:color="auto" w:sz="4" w:space="0"/>
            </w:tcBorders>
            <w:noWrap w:val="0"/>
            <w:vAlign w:val="center"/>
          </w:tcPr>
          <w:p w14:paraId="1C4E36DE">
            <w:pPr>
              <w:widowControl/>
              <w:snapToGrid w:val="0"/>
              <w:spacing w:line="460" w:lineRule="exact"/>
              <w:jc w:val="center"/>
              <w:rPr>
                <w:rFonts w:hint="eastAsia" w:ascii="宋体" w:hAnsi="宋体" w:eastAsia="宋体" w:cs="宋体"/>
                <w:sz w:val="28"/>
                <w:szCs w:val="28"/>
              </w:rPr>
            </w:pPr>
            <w:r>
              <w:rPr>
                <w:rFonts w:hint="eastAsia" w:ascii="宋体" w:hAnsi="宋体" w:eastAsia="宋体" w:cs="宋体"/>
                <w:sz w:val="28"/>
                <w:szCs w:val="28"/>
              </w:rPr>
              <w:t>年</w:t>
            </w:r>
          </w:p>
        </w:tc>
        <w:tc>
          <w:tcPr>
            <w:tcW w:w="3493" w:type="dxa"/>
            <w:tcBorders>
              <w:top w:val="single" w:color="auto" w:sz="4" w:space="0"/>
              <w:left w:val="single" w:color="auto" w:sz="4" w:space="0"/>
              <w:bottom w:val="single" w:color="auto" w:sz="4" w:space="0"/>
              <w:right w:val="single" w:color="auto" w:sz="4" w:space="0"/>
            </w:tcBorders>
            <w:noWrap w:val="0"/>
            <w:vAlign w:val="center"/>
          </w:tcPr>
          <w:p w14:paraId="05F150AD">
            <w:pPr>
              <w:spacing w:line="460" w:lineRule="exact"/>
              <w:ind w:firstLine="840" w:firstLineChars="300"/>
              <w:jc w:val="both"/>
              <w:rPr>
                <w:rFonts w:hint="eastAsia" w:ascii="宋体" w:hAnsi="宋体" w:eastAsia="宋体" w:cs="宋体"/>
                <w:sz w:val="28"/>
                <w:szCs w:val="28"/>
              </w:rPr>
            </w:pPr>
            <w:r>
              <w:rPr>
                <w:rFonts w:hint="eastAsia" w:ascii="宋体" w:hAnsi="宋体" w:cs="宋体"/>
                <w:sz w:val="28"/>
                <w:szCs w:val="28"/>
                <w:lang w:val="en-US" w:eastAsia="zh-CN"/>
              </w:rPr>
              <w:t>89</w:t>
            </w:r>
            <w:r>
              <w:rPr>
                <w:rFonts w:hint="eastAsia" w:ascii="宋体" w:hAnsi="宋体" w:eastAsia="宋体" w:cs="宋体"/>
                <w:sz w:val="28"/>
                <w:szCs w:val="28"/>
              </w:rPr>
              <w:t>000.00元</w:t>
            </w:r>
          </w:p>
          <w:p w14:paraId="2DD61BAD">
            <w:pPr>
              <w:spacing w:line="460" w:lineRule="exact"/>
              <w:jc w:val="center"/>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b/>
                <w:sz w:val="28"/>
                <w:szCs w:val="28"/>
              </w:rPr>
              <w:t xml:space="preserve"> 如比选申请人报价超过预算按无效标处理。</w:t>
            </w:r>
            <w:r>
              <w:rPr>
                <w:rFonts w:hint="eastAsia" w:ascii="宋体" w:hAnsi="宋体" w:eastAsia="宋体" w:cs="宋体"/>
                <w:sz w:val="28"/>
                <w:szCs w:val="28"/>
              </w:rPr>
              <w:t>）</w:t>
            </w:r>
          </w:p>
        </w:tc>
      </w:tr>
    </w:tbl>
    <w:p w14:paraId="7D0E78B6">
      <w:pPr>
        <w:pStyle w:val="2"/>
        <w:numPr>
          <w:ilvl w:val="0"/>
          <w:numId w:val="0"/>
        </w:numPr>
        <w:ind w:leftChars="0"/>
        <w:jc w:val="both"/>
        <w:rPr>
          <w:rFonts w:hint="eastAsia" w:ascii="Times New Roman" w:hAnsi="Times New Roman" w:eastAsia="宋体" w:cs="Times New Roman"/>
          <w:b/>
          <w:bCs/>
          <w:kern w:val="2"/>
          <w:sz w:val="24"/>
          <w:szCs w:val="24"/>
          <w:highlight w:val="none"/>
          <w:lang w:val="en-US" w:eastAsia="zh-CN" w:bidi="ar-SA"/>
        </w:rPr>
      </w:pPr>
    </w:p>
    <w:p w14:paraId="3D6EB549">
      <w:pPr>
        <w:pStyle w:val="2"/>
        <w:numPr>
          <w:ilvl w:val="0"/>
          <w:numId w:val="0"/>
        </w:numPr>
        <w:ind w:leftChars="0"/>
        <w:jc w:val="both"/>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三、技术功能要求</w:t>
      </w:r>
    </w:p>
    <w:p w14:paraId="0C45855E">
      <w:pPr>
        <w:pStyle w:val="27"/>
        <w:spacing w:line="360" w:lineRule="auto"/>
        <w:ind w:left="0" w:leftChars="0" w:firstLine="0" w:firstLineChars="0"/>
        <w:rPr>
          <w:rFonts w:hint="eastAsia" w:asciiTheme="majorEastAsia" w:hAnsiTheme="majorEastAsia" w:eastAsiaTheme="majorEastAsia" w:cstheme="majorEastAsia"/>
          <w:b/>
          <w:bCs w:val="0"/>
          <w:sz w:val="24"/>
          <w:szCs w:val="24"/>
          <w:highlight w:val="none"/>
        </w:rPr>
      </w:pPr>
    </w:p>
    <w:p w14:paraId="774D7EA1">
      <w:pPr>
        <w:ind w:firstLine="562" w:firstLineChars="200"/>
        <w:rPr>
          <w:rStyle w:val="20"/>
          <w:rFonts w:hint="eastAsia" w:ascii="宋体" w:hAnsi="宋体" w:eastAsia="宋体" w:cs="宋体"/>
          <w:color w:val="333333"/>
          <w:sz w:val="28"/>
          <w:szCs w:val="28"/>
          <w:shd w:val="clear" w:color="auto" w:fill="FFFFFF"/>
        </w:rPr>
      </w:pPr>
      <w:r>
        <w:rPr>
          <w:rStyle w:val="20"/>
          <w:rFonts w:hint="eastAsia" w:ascii="宋体" w:hAnsi="宋体" w:eastAsia="宋体" w:cs="宋体"/>
          <w:color w:val="333333"/>
          <w:sz w:val="28"/>
          <w:szCs w:val="28"/>
          <w:shd w:val="clear" w:color="auto" w:fill="FFFFFF"/>
        </w:rPr>
        <w:t>采购前置服务器（含软件）</w:t>
      </w:r>
    </w:p>
    <w:p w14:paraId="61623586">
      <w:pPr>
        <w:ind w:firstLine="560" w:firstLineChars="200"/>
        <w:rPr>
          <w:rStyle w:val="20"/>
          <w:rFonts w:hint="eastAsia" w:ascii="宋体" w:hAnsi="宋体" w:eastAsia="宋体" w:cs="宋体"/>
          <w:b w:val="0"/>
          <w:bCs/>
          <w:color w:val="333333"/>
          <w:sz w:val="28"/>
          <w:szCs w:val="28"/>
          <w:shd w:val="clear" w:color="auto" w:fill="FFFFFF"/>
        </w:rPr>
      </w:pPr>
      <w:r>
        <w:rPr>
          <w:rStyle w:val="20"/>
          <w:rFonts w:hint="eastAsia" w:ascii="宋体" w:hAnsi="宋体" w:eastAsia="宋体" w:cs="宋体"/>
          <w:b w:val="0"/>
          <w:bCs/>
          <w:color w:val="333333"/>
          <w:sz w:val="28"/>
          <w:szCs w:val="28"/>
          <w:shd w:val="clear" w:color="auto" w:fill="FFFFFF"/>
        </w:rPr>
        <w:t>为保证国家传染病智能监测预警前置软件（以下简称前置软件）安全稳定运行，医疗机构需按照以下要求配置前置软件部署运行所需软硬件环境及做好相关保障。根据需求，选用国产服务器，搭载麒麟、欧拉、统信(OpenEuler内核版本）等国产操作系统的服务器版，满足中国信息安全测评中心《安全可靠测评结果公告（2023年第1号）》；</w:t>
      </w:r>
    </w:p>
    <w:p w14:paraId="1D700CBC">
      <w:pPr>
        <w:pStyle w:val="5"/>
        <w:rPr>
          <w:rStyle w:val="20"/>
          <w:rFonts w:hint="eastAsia" w:ascii="宋体" w:hAnsi="宋体" w:eastAsia="宋体" w:cs="宋体"/>
          <w:b w:val="0"/>
          <w:bCs/>
          <w:color w:val="333333"/>
          <w:sz w:val="28"/>
          <w:szCs w:val="28"/>
          <w:shd w:val="clear" w:color="auto" w:fill="FFFFFF"/>
        </w:rPr>
      </w:pPr>
      <w:r>
        <w:rPr>
          <w:rStyle w:val="20"/>
          <w:rFonts w:hint="eastAsia" w:ascii="宋体" w:hAnsi="宋体" w:eastAsia="宋体" w:cs="宋体"/>
          <w:b w:val="0"/>
          <w:bCs/>
          <w:color w:val="333333"/>
          <w:sz w:val="28"/>
          <w:szCs w:val="28"/>
          <w:shd w:val="clear" w:color="auto" w:fill="FFFFFF"/>
        </w:rPr>
        <w:t>(一)CPU:采用国产自研CPU，二级医疗机构物理核数&gt;32核，三级医疗机构物理核数&gt;64核;</w:t>
      </w:r>
    </w:p>
    <w:p w14:paraId="1B96B3FF">
      <w:pPr>
        <w:pStyle w:val="5"/>
        <w:rPr>
          <w:rStyle w:val="20"/>
          <w:rFonts w:hint="eastAsia" w:ascii="宋体" w:hAnsi="宋体" w:eastAsia="宋体" w:cs="宋体"/>
          <w:b w:val="0"/>
          <w:bCs/>
          <w:color w:val="333333"/>
          <w:sz w:val="28"/>
          <w:szCs w:val="28"/>
          <w:shd w:val="clear" w:color="auto" w:fill="FFFFFF"/>
        </w:rPr>
      </w:pPr>
      <w:r>
        <w:rPr>
          <w:rStyle w:val="20"/>
          <w:rFonts w:hint="eastAsia" w:ascii="宋体" w:hAnsi="宋体" w:eastAsia="宋体" w:cs="宋体"/>
          <w:b w:val="0"/>
          <w:bCs/>
          <w:color w:val="333333"/>
          <w:sz w:val="28"/>
          <w:szCs w:val="28"/>
          <w:shd w:val="clear" w:color="auto" w:fill="FFFFFF"/>
        </w:rPr>
        <w:t>(二)内存:二级医疗机构&gt;128GB，三级医疗机构&gt;256GB;</w:t>
      </w:r>
    </w:p>
    <w:p w14:paraId="52DE1E7E">
      <w:pPr>
        <w:pStyle w:val="5"/>
        <w:rPr>
          <w:rStyle w:val="20"/>
          <w:rFonts w:hint="eastAsia" w:ascii="宋体" w:hAnsi="宋体" w:eastAsia="宋体" w:cs="宋体"/>
          <w:b w:val="0"/>
          <w:bCs/>
          <w:color w:val="333333"/>
          <w:sz w:val="28"/>
          <w:szCs w:val="28"/>
          <w:shd w:val="clear" w:color="auto" w:fill="FFFFFF"/>
        </w:rPr>
      </w:pPr>
      <w:r>
        <w:rPr>
          <w:rStyle w:val="20"/>
          <w:rFonts w:hint="eastAsia" w:ascii="宋体" w:hAnsi="宋体" w:eastAsia="宋体" w:cs="宋体"/>
          <w:b w:val="0"/>
          <w:bCs/>
          <w:color w:val="333333"/>
          <w:sz w:val="28"/>
          <w:szCs w:val="28"/>
          <w:shd w:val="clear" w:color="auto" w:fill="FFFFFF"/>
        </w:rPr>
        <w:t>(三)存储空间:&gt;1T;</w:t>
      </w:r>
    </w:p>
    <w:p w14:paraId="737D4835">
      <w:pPr>
        <w:pStyle w:val="5"/>
        <w:rPr>
          <w:rStyle w:val="20"/>
          <w:rFonts w:hint="eastAsia" w:ascii="宋体" w:hAnsi="宋体" w:eastAsia="宋体" w:cs="宋体"/>
          <w:b w:val="0"/>
          <w:bCs/>
          <w:color w:val="333333"/>
          <w:sz w:val="28"/>
          <w:szCs w:val="28"/>
          <w:shd w:val="clear" w:color="auto" w:fill="FFFFFF"/>
        </w:rPr>
      </w:pPr>
      <w:r>
        <w:rPr>
          <w:rStyle w:val="20"/>
          <w:rFonts w:hint="eastAsia" w:ascii="宋体" w:hAnsi="宋体" w:eastAsia="宋体" w:cs="宋体"/>
          <w:b w:val="0"/>
          <w:bCs/>
          <w:color w:val="333333"/>
          <w:sz w:val="28"/>
          <w:szCs w:val="28"/>
          <w:shd w:val="clear" w:color="auto" w:fill="FFFFFF"/>
        </w:rPr>
        <w:t>(四)配置双网卡；</w:t>
      </w:r>
    </w:p>
    <w:p w14:paraId="58194B20">
      <w:pPr>
        <w:widowControl/>
        <w:ind w:firstLine="420" w:firstLineChars="150"/>
        <w:jc w:val="left"/>
        <w:rPr>
          <w:rStyle w:val="20"/>
          <w:rFonts w:hint="eastAsia" w:ascii="宋体" w:hAnsi="宋体" w:eastAsia="宋体" w:cs="宋体"/>
          <w:b w:val="0"/>
          <w:bCs/>
          <w:color w:val="333333"/>
          <w:sz w:val="28"/>
          <w:szCs w:val="28"/>
          <w:shd w:val="clear" w:color="auto" w:fill="FFFFFF"/>
        </w:rPr>
      </w:pPr>
      <w:r>
        <w:rPr>
          <w:rStyle w:val="20"/>
          <w:rFonts w:hint="eastAsia" w:ascii="宋体" w:hAnsi="宋体" w:eastAsia="宋体" w:cs="宋体"/>
          <w:b w:val="0"/>
          <w:bCs/>
          <w:color w:val="333333"/>
          <w:sz w:val="28"/>
          <w:szCs w:val="28"/>
          <w:shd w:val="clear" w:color="auto" w:fill="FFFFFF"/>
        </w:rPr>
        <w:t xml:space="preserve">(五)操作系统:使用麒麟、欧拉OpenEuler等国产操作系统的服务器版； </w:t>
      </w:r>
    </w:p>
    <w:p w14:paraId="16545447">
      <w:pPr>
        <w:widowControl/>
        <w:ind w:firstLine="280" w:firstLineChars="100"/>
        <w:jc w:val="left"/>
        <w:rPr>
          <w:rStyle w:val="20"/>
          <w:rFonts w:hint="eastAsia" w:ascii="宋体" w:hAnsi="宋体" w:eastAsia="宋体" w:cs="宋体"/>
          <w:b w:val="0"/>
          <w:bCs/>
          <w:color w:val="333333"/>
          <w:sz w:val="28"/>
          <w:szCs w:val="28"/>
          <w:shd w:val="clear" w:color="auto" w:fill="FFFFFF"/>
        </w:rPr>
      </w:pPr>
      <w:r>
        <w:rPr>
          <w:rStyle w:val="20"/>
          <w:rFonts w:hint="eastAsia" w:ascii="宋体" w:hAnsi="宋体" w:eastAsia="宋体" w:cs="宋体"/>
          <w:b w:val="0"/>
          <w:bCs/>
          <w:color w:val="333333"/>
          <w:sz w:val="28"/>
          <w:szCs w:val="28"/>
          <w:shd w:val="clear" w:color="auto" w:fill="FFFFFF"/>
        </w:rPr>
        <w:t>（六）数据库：OpenGauss，服务器需支持运行此架构数据库。</w:t>
      </w:r>
    </w:p>
    <w:p w14:paraId="31234D6D">
      <w:pPr>
        <w:widowControl/>
        <w:ind w:firstLine="218" w:firstLineChars="78"/>
        <w:jc w:val="left"/>
        <w:rPr>
          <w:rStyle w:val="20"/>
          <w:rFonts w:hint="eastAsia" w:ascii="仿宋_GB2312" w:hAnsi="仿宋_GB2312" w:eastAsia="仿宋_GB2312" w:cs="仿宋_GB2312"/>
          <w:b w:val="0"/>
          <w:bCs/>
          <w:color w:val="333333"/>
          <w:sz w:val="28"/>
          <w:szCs w:val="28"/>
          <w:shd w:val="clear" w:color="auto" w:fill="FFFFFF"/>
        </w:rPr>
      </w:pPr>
    </w:p>
    <w:p w14:paraId="2F654B9D">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四、技术参数（标的）</w:t>
      </w:r>
    </w:p>
    <w:p w14:paraId="5B0BD2CC">
      <w:pPr>
        <w:numPr>
          <w:ilvl w:val="0"/>
          <w:numId w:val="0"/>
        </w:numPr>
        <w:ind w:leftChars="0"/>
        <w:outlineLvl w:val="1"/>
        <w:rPr>
          <w:rFonts w:hint="eastAsia" w:ascii="宋体" w:hAnsi="宋体" w:eastAsia="宋体" w:cs="宋体"/>
          <w:b/>
          <w:bCs/>
          <w:kern w:val="2"/>
          <w:sz w:val="28"/>
          <w:szCs w:val="28"/>
          <w:highlight w:val="none"/>
          <w:lang w:val="en-US" w:eastAsia="zh-CN" w:bidi="ar-SA"/>
        </w:rPr>
      </w:pPr>
    </w:p>
    <w:p w14:paraId="0FBF4F12">
      <w:pPr>
        <w:numPr>
          <w:ilvl w:val="0"/>
          <w:numId w:val="0"/>
        </w:numPr>
        <w:ind w:leftChars="0"/>
        <w:outlineLvl w:val="1"/>
        <w:rPr>
          <w:rFonts w:hint="eastAsia" w:ascii="宋体" w:hAnsi="宋体" w:eastAsia="宋体" w:cs="宋体"/>
          <w:b/>
          <w:bCs/>
          <w:kern w:val="2"/>
          <w:sz w:val="28"/>
          <w:szCs w:val="28"/>
          <w:highlight w:val="none"/>
          <w:lang w:val="en-US" w:eastAsia="zh-CN" w:bidi="ar-SA"/>
        </w:rPr>
      </w:pPr>
    </w:p>
    <w:p w14:paraId="580B00D2">
      <w:pPr>
        <w:numPr>
          <w:ilvl w:val="0"/>
          <w:numId w:val="0"/>
        </w:numPr>
        <w:ind w:leftChars="0"/>
        <w:outlineLvl w:val="1"/>
        <w:rPr>
          <w:rFonts w:hint="eastAsia" w:ascii="宋体" w:hAnsi="宋体" w:eastAsia="宋体" w:cs="宋体"/>
          <w:b/>
          <w:bCs/>
          <w:kern w:val="2"/>
          <w:sz w:val="28"/>
          <w:szCs w:val="28"/>
          <w:highlight w:val="none"/>
          <w:lang w:val="en-US" w:eastAsia="zh-CN" w:bidi="ar-SA"/>
        </w:rPr>
      </w:pPr>
    </w:p>
    <w:tbl>
      <w:tblPr>
        <w:tblStyle w:val="17"/>
        <w:tblW w:w="8508" w:type="dxa"/>
        <w:jc w:val="center"/>
        <w:tblLayout w:type="autofit"/>
        <w:tblCellMar>
          <w:top w:w="0" w:type="dxa"/>
          <w:left w:w="108" w:type="dxa"/>
          <w:bottom w:w="0" w:type="dxa"/>
          <w:right w:w="108" w:type="dxa"/>
        </w:tblCellMar>
      </w:tblPr>
      <w:tblGrid>
        <w:gridCol w:w="1493"/>
        <w:gridCol w:w="7015"/>
      </w:tblGrid>
      <w:tr w14:paraId="02819D07">
        <w:tblPrEx>
          <w:tblCellMar>
            <w:top w:w="0" w:type="dxa"/>
            <w:left w:w="108" w:type="dxa"/>
            <w:bottom w:w="0" w:type="dxa"/>
            <w:right w:w="108" w:type="dxa"/>
          </w:tblCellMar>
        </w:tblPrEx>
        <w:trPr>
          <w:trHeight w:val="630" w:hRule="atLeast"/>
          <w:jc w:val="center"/>
        </w:trPr>
        <w:tc>
          <w:tcPr>
            <w:tcW w:w="8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2B07D">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服务器及服务内容</w:t>
            </w:r>
          </w:p>
        </w:tc>
      </w:tr>
      <w:tr w14:paraId="6DE838CB">
        <w:tblPrEx>
          <w:tblCellMar>
            <w:top w:w="0" w:type="dxa"/>
            <w:left w:w="108" w:type="dxa"/>
            <w:bottom w:w="0" w:type="dxa"/>
            <w:right w:w="108" w:type="dxa"/>
          </w:tblCellMar>
        </w:tblPrEx>
        <w:trPr>
          <w:trHeight w:val="5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C8584">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w:t>
            </w:r>
            <w:r>
              <w:rPr>
                <w:rFonts w:hint="eastAsia" w:ascii="宋体" w:hAnsi="宋体" w:eastAsia="宋体" w:cs="宋体"/>
                <w:sz w:val="28"/>
                <w:szCs w:val="28"/>
              </w:rPr>
              <w:t>架构</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6F4AB">
            <w:pPr>
              <w:spacing w:line="360" w:lineRule="auto"/>
              <w:rPr>
                <w:rFonts w:hint="eastAsia" w:ascii="宋体" w:hAnsi="宋体" w:eastAsia="宋体" w:cs="宋体"/>
                <w:bCs/>
                <w:color w:val="000000"/>
                <w:kern w:val="0"/>
                <w:sz w:val="28"/>
                <w:szCs w:val="28"/>
                <w:lang w:bidi="ar"/>
              </w:rPr>
            </w:pPr>
            <w:r>
              <w:rPr>
                <w:rFonts w:hint="eastAsia" w:ascii="宋体" w:hAnsi="宋体" w:eastAsia="宋体" w:cs="宋体"/>
                <w:bCs/>
                <w:color w:val="000000"/>
                <w:kern w:val="0"/>
                <w:sz w:val="28"/>
                <w:szCs w:val="28"/>
                <w:lang w:bidi="ar"/>
              </w:rPr>
              <w:t>国产机架式ARM服务器</w:t>
            </w:r>
          </w:p>
        </w:tc>
      </w:tr>
      <w:tr w14:paraId="094D9790">
        <w:tblPrEx>
          <w:tblCellMar>
            <w:top w:w="0" w:type="dxa"/>
            <w:left w:w="108" w:type="dxa"/>
            <w:bottom w:w="0" w:type="dxa"/>
            <w:right w:w="108" w:type="dxa"/>
          </w:tblCellMar>
        </w:tblPrEx>
        <w:trPr>
          <w:trHeight w:val="5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C06D">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sz w:val="28"/>
                <w:szCs w:val="28"/>
              </w:rPr>
              <w:t>CPU芯片</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2B508">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★采用国产自研CPU，物理核数≥64核；</w:t>
            </w:r>
          </w:p>
        </w:tc>
      </w:tr>
      <w:tr w14:paraId="47B8C3B4">
        <w:tblPrEx>
          <w:tblCellMar>
            <w:top w:w="0" w:type="dxa"/>
            <w:left w:w="108" w:type="dxa"/>
            <w:bottom w:w="0" w:type="dxa"/>
            <w:right w:w="108" w:type="dxa"/>
          </w:tblCellMar>
        </w:tblPrEx>
        <w:trPr>
          <w:trHeight w:val="3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059F">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内存</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43508">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256GB/DDR4/RDIMM内存-ECC</w:t>
            </w:r>
          </w:p>
        </w:tc>
      </w:tr>
      <w:tr w14:paraId="3CA17E0F">
        <w:tblPrEx>
          <w:tblCellMar>
            <w:top w:w="0" w:type="dxa"/>
            <w:left w:w="108" w:type="dxa"/>
            <w:bottom w:w="0" w:type="dxa"/>
            <w:right w:w="108" w:type="dxa"/>
          </w:tblCellMar>
        </w:tblPrEx>
        <w:trPr>
          <w:trHeight w:val="722"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29C46">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SATA/SAS SSD</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8D6F2">
            <w:pPr>
              <w:spacing w:line="360" w:lineRule="auto"/>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★存储空间：≥1T；</w:t>
            </w:r>
          </w:p>
        </w:tc>
      </w:tr>
      <w:tr w14:paraId="1AB9CE8B">
        <w:tblPrEx>
          <w:tblCellMar>
            <w:top w:w="0" w:type="dxa"/>
            <w:left w:w="108" w:type="dxa"/>
            <w:bottom w:w="0" w:type="dxa"/>
            <w:right w:w="108" w:type="dxa"/>
          </w:tblCellMar>
        </w:tblPrEx>
        <w:trPr>
          <w:trHeight w:val="276"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05C29">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RAID</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D66DB">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RAID 0,1,10</w:t>
            </w:r>
          </w:p>
        </w:tc>
      </w:tr>
      <w:tr w14:paraId="27F42EBB">
        <w:tblPrEx>
          <w:tblCellMar>
            <w:top w:w="0" w:type="dxa"/>
            <w:left w:w="108" w:type="dxa"/>
            <w:bottom w:w="0" w:type="dxa"/>
            <w:right w:w="108" w:type="dxa"/>
          </w:tblCellMar>
        </w:tblPrEx>
        <w:trPr>
          <w:trHeight w:val="276"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6A04">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网卡</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C1E60">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w:t>
            </w:r>
            <w:r>
              <w:rPr>
                <w:rFonts w:hint="eastAsia" w:ascii="宋体" w:hAnsi="宋体" w:eastAsia="宋体" w:cs="宋体"/>
                <w:bCs/>
                <w:color w:val="000000"/>
                <w:sz w:val="28"/>
                <w:szCs w:val="28"/>
              </w:rPr>
              <w:t>配置双网卡，方便连接院内网络环境和外部网络；</w:t>
            </w:r>
          </w:p>
        </w:tc>
      </w:tr>
      <w:tr w14:paraId="24C5059F">
        <w:tblPrEx>
          <w:tblCellMar>
            <w:top w:w="0" w:type="dxa"/>
            <w:left w:w="108" w:type="dxa"/>
            <w:bottom w:w="0" w:type="dxa"/>
            <w:right w:w="108" w:type="dxa"/>
          </w:tblCellMar>
        </w:tblPrEx>
        <w:trPr>
          <w:trHeight w:val="3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8D0F">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电源模块</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7A452">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2 X 电源模块</w:t>
            </w:r>
          </w:p>
        </w:tc>
      </w:tr>
      <w:tr w14:paraId="2237FE2B">
        <w:tblPrEx>
          <w:tblCellMar>
            <w:top w:w="0" w:type="dxa"/>
            <w:left w:w="108" w:type="dxa"/>
            <w:bottom w:w="0" w:type="dxa"/>
            <w:right w:w="108" w:type="dxa"/>
          </w:tblCellMar>
        </w:tblPrEx>
        <w:trPr>
          <w:trHeight w:val="3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0D8D">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光模块组</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34DF">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2 X 光模块-SFP+-10G-多模模块(850nm,0.3km,LC)</w:t>
            </w:r>
          </w:p>
        </w:tc>
      </w:tr>
      <w:tr w14:paraId="625DAEA3">
        <w:tblPrEx>
          <w:tblCellMar>
            <w:top w:w="0" w:type="dxa"/>
            <w:left w:w="108" w:type="dxa"/>
            <w:bottom w:w="0" w:type="dxa"/>
            <w:right w:w="108" w:type="dxa"/>
          </w:tblCellMar>
        </w:tblPrEx>
        <w:trPr>
          <w:trHeight w:val="3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1E88">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服务</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41A03">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1 X 服务器三年标准售后</w:t>
            </w:r>
          </w:p>
        </w:tc>
      </w:tr>
      <w:tr w14:paraId="2FF6B9F3">
        <w:tblPrEx>
          <w:tblCellMar>
            <w:top w:w="0" w:type="dxa"/>
            <w:left w:w="108" w:type="dxa"/>
            <w:bottom w:w="0" w:type="dxa"/>
            <w:right w:w="108" w:type="dxa"/>
          </w:tblCellMar>
        </w:tblPrEx>
        <w:trPr>
          <w:trHeight w:val="3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478B">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数据库</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42ECC">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openGauss</w:t>
            </w:r>
          </w:p>
        </w:tc>
      </w:tr>
      <w:tr w14:paraId="3678F168">
        <w:tblPrEx>
          <w:tblCellMar>
            <w:top w:w="0" w:type="dxa"/>
            <w:left w:w="108" w:type="dxa"/>
            <w:bottom w:w="0" w:type="dxa"/>
            <w:right w:w="108" w:type="dxa"/>
          </w:tblCellMar>
        </w:tblPrEx>
        <w:trPr>
          <w:trHeight w:val="36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8DF02">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操作系统</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7733E">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★使用麒麟、欧拉等国产操作系统的服务器版</w:t>
            </w:r>
          </w:p>
        </w:tc>
      </w:tr>
      <w:tr w14:paraId="08C1B59D">
        <w:tblPrEx>
          <w:tblCellMar>
            <w:top w:w="0" w:type="dxa"/>
            <w:left w:w="108" w:type="dxa"/>
            <w:bottom w:w="0" w:type="dxa"/>
            <w:right w:w="108" w:type="dxa"/>
          </w:tblCellMar>
        </w:tblPrEx>
        <w:trPr>
          <w:trHeight w:val="57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42041">
            <w:pPr>
              <w:widowControl/>
              <w:spacing w:line="360" w:lineRule="auto"/>
              <w:jc w:val="center"/>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疾控前置软件</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063B1">
            <w:pPr>
              <w:widowControl/>
              <w:spacing w:line="360" w:lineRule="auto"/>
              <w:jc w:val="left"/>
              <w:textAlignment w:val="center"/>
              <w:rPr>
                <w:rFonts w:hint="eastAsia" w:ascii="宋体" w:hAnsi="宋体" w:eastAsia="宋体" w:cs="宋体"/>
                <w:bCs/>
                <w:color w:val="000000"/>
                <w:sz w:val="28"/>
                <w:szCs w:val="28"/>
              </w:rPr>
            </w:pPr>
            <w:r>
              <w:rPr>
                <w:rFonts w:hint="eastAsia" w:ascii="宋体" w:hAnsi="宋体" w:eastAsia="宋体" w:cs="宋体"/>
                <w:bCs/>
                <w:color w:val="000000"/>
                <w:kern w:val="0"/>
                <w:sz w:val="28"/>
                <w:szCs w:val="28"/>
                <w:lang w:bidi="ar"/>
              </w:rPr>
              <w:t>★按国家传染病监测预警前置软件考核任务要求完成初始化配置，并配合医院完成前置软件运行所需软硬件环境初始化对应的0S、Database、App、Port等环境配置</w:t>
            </w:r>
          </w:p>
        </w:tc>
      </w:tr>
      <w:tr w14:paraId="15C157E3">
        <w:tblPrEx>
          <w:tblCellMar>
            <w:top w:w="0" w:type="dxa"/>
            <w:left w:w="108" w:type="dxa"/>
            <w:bottom w:w="0" w:type="dxa"/>
            <w:right w:w="108" w:type="dxa"/>
          </w:tblCellMar>
        </w:tblPrEx>
        <w:trPr>
          <w:trHeight w:val="570" w:hRule="atLeast"/>
          <w:jc w:val="center"/>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B1669">
            <w:pPr>
              <w:widowControl/>
              <w:spacing w:line="360" w:lineRule="auto"/>
              <w:jc w:val="center"/>
              <w:textAlignment w:val="center"/>
              <w:rPr>
                <w:rFonts w:hint="eastAsia" w:ascii="宋体" w:hAnsi="宋体" w:eastAsia="宋体" w:cs="宋体"/>
                <w:bCs/>
                <w:color w:val="000000"/>
                <w:kern w:val="0"/>
                <w:sz w:val="28"/>
                <w:szCs w:val="28"/>
                <w:lang w:bidi="ar"/>
              </w:rPr>
            </w:pPr>
            <w:r>
              <w:rPr>
                <w:rFonts w:hint="eastAsia" w:ascii="宋体" w:hAnsi="宋体" w:eastAsia="宋体" w:cs="宋体"/>
                <w:bCs/>
                <w:color w:val="000000"/>
                <w:kern w:val="0"/>
                <w:sz w:val="28"/>
                <w:szCs w:val="28"/>
                <w:lang w:bidi="ar"/>
              </w:rPr>
              <w:t>其他</w:t>
            </w:r>
          </w:p>
        </w:tc>
        <w:tc>
          <w:tcPr>
            <w:tcW w:w="7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AE0B7">
            <w:pPr>
              <w:widowControl/>
              <w:numPr>
                <w:ilvl w:val="0"/>
                <w:numId w:val="3"/>
              </w:numPr>
              <w:spacing w:line="360" w:lineRule="auto"/>
              <w:jc w:val="left"/>
              <w:textAlignment w:val="center"/>
              <w:rPr>
                <w:rFonts w:hint="eastAsia" w:ascii="宋体" w:hAnsi="宋体" w:eastAsia="宋体" w:cs="宋体"/>
                <w:bCs/>
                <w:color w:val="000000"/>
                <w:kern w:val="0"/>
                <w:sz w:val="28"/>
                <w:szCs w:val="28"/>
                <w:lang w:bidi="ar"/>
              </w:rPr>
            </w:pPr>
            <w:r>
              <w:rPr>
                <w:rFonts w:hint="eastAsia" w:ascii="宋体" w:hAnsi="宋体" w:eastAsia="宋体" w:cs="宋体"/>
                <w:bCs/>
                <w:color w:val="000000"/>
                <w:kern w:val="0"/>
                <w:sz w:val="28"/>
                <w:szCs w:val="28"/>
                <w:lang w:bidi="ar"/>
              </w:rPr>
              <w:t>▲集成商需证明具备前置软件项目的集成能力，充分理解浙江省前置软件部署的项目要求，证明能与“浙江省疾控局国家前置软件部署衔接项目”无缝对接，并提供证明材料。</w:t>
            </w:r>
          </w:p>
          <w:p w14:paraId="34B0F78A">
            <w:pPr>
              <w:widowControl/>
              <w:numPr>
                <w:ilvl w:val="0"/>
                <w:numId w:val="3"/>
              </w:numPr>
              <w:spacing w:line="360" w:lineRule="auto"/>
              <w:jc w:val="left"/>
              <w:textAlignment w:val="center"/>
              <w:rPr>
                <w:rFonts w:hint="eastAsia" w:ascii="宋体" w:hAnsi="宋体" w:eastAsia="宋体" w:cs="宋体"/>
                <w:bCs/>
                <w:color w:val="000000"/>
                <w:kern w:val="0"/>
                <w:sz w:val="28"/>
                <w:szCs w:val="28"/>
                <w:lang w:bidi="ar"/>
              </w:rPr>
            </w:pPr>
            <w:r>
              <w:rPr>
                <w:rFonts w:hint="eastAsia" w:ascii="宋体" w:hAnsi="宋体" w:eastAsia="宋体" w:cs="宋体"/>
                <w:bCs/>
                <w:color w:val="000000"/>
                <w:kern w:val="0"/>
                <w:sz w:val="28"/>
                <w:szCs w:val="28"/>
                <w:lang w:bidi="ar"/>
              </w:rPr>
              <w:t>国家传染病智能监测预警前置软件对接实现方案设计，能给出完整的工作流程设计：针对医院标化镜像库与国家传染病智能监测预警前置软件的对接和联调、国家传染病智能监测预警前置软件的部署以及数据上传工作。</w:t>
            </w:r>
          </w:p>
        </w:tc>
      </w:tr>
    </w:tbl>
    <w:p w14:paraId="334705D7">
      <w:pPr>
        <w:pStyle w:val="27"/>
        <w:spacing w:line="360" w:lineRule="auto"/>
        <w:ind w:left="0" w:leftChars="0" w:firstLine="0" w:firstLineChars="0"/>
        <w:rPr>
          <w:rFonts w:hint="eastAsia" w:ascii="Times New Roman" w:hAnsi="Times New Roman" w:eastAsia="宋体" w:cs="Times New Roman"/>
          <w:b/>
          <w:bCs/>
          <w:kern w:val="2"/>
          <w:sz w:val="24"/>
          <w:szCs w:val="24"/>
          <w:highlight w:val="none"/>
          <w:lang w:val="en-US" w:eastAsia="zh-CN" w:bidi="ar-SA"/>
        </w:rPr>
      </w:pPr>
    </w:p>
    <w:p w14:paraId="63B6AD14">
      <w:pPr>
        <w:numPr>
          <w:ilvl w:val="0"/>
          <w:numId w:val="0"/>
        </w:numPr>
        <w:ind w:leftChars="0"/>
        <w:outlineLvl w:val="1"/>
        <w:rPr>
          <w:rFonts w:hint="eastAsia" w:ascii="Times New Roman" w:hAnsi="Times New Roman" w:eastAsia="宋体" w:cs="Times New Roman"/>
          <w:b/>
          <w:bCs/>
          <w:kern w:val="2"/>
          <w:sz w:val="28"/>
          <w:szCs w:val="28"/>
          <w:highlight w:val="none"/>
          <w:lang w:val="zh-CN" w:eastAsia="zh-CN" w:bidi="ar-SA"/>
        </w:rPr>
      </w:pPr>
      <w:r>
        <w:rPr>
          <w:rFonts w:hint="eastAsia" w:ascii="Times New Roman" w:hAnsi="Times New Roman" w:eastAsia="宋体" w:cs="Times New Roman"/>
          <w:b/>
          <w:bCs/>
          <w:kern w:val="2"/>
          <w:sz w:val="28"/>
          <w:szCs w:val="28"/>
          <w:highlight w:val="none"/>
          <w:lang w:val="en-US" w:eastAsia="zh-CN" w:bidi="ar-SA"/>
        </w:rPr>
        <w:t>五、</w:t>
      </w:r>
      <w:r>
        <w:rPr>
          <w:rFonts w:hint="eastAsia" w:ascii="Times New Roman" w:hAnsi="Times New Roman" w:eastAsia="宋体" w:cs="Times New Roman"/>
          <w:b/>
          <w:bCs/>
          <w:kern w:val="2"/>
          <w:sz w:val="28"/>
          <w:szCs w:val="28"/>
          <w:highlight w:val="none"/>
          <w:lang w:val="zh-CN" w:eastAsia="zh-CN" w:bidi="ar-SA"/>
        </w:rPr>
        <w:t>计划工期和实施方式</w:t>
      </w:r>
    </w:p>
    <w:p w14:paraId="41C80368">
      <w:pPr>
        <w:spacing w:line="360" w:lineRule="auto"/>
        <w:ind w:firstLine="686" w:firstLineChars="245"/>
        <w:rPr>
          <w:rFonts w:hint="eastAsia" w:ascii="宋体" w:hAnsi="宋体" w:eastAsia="宋体" w:cs="宋体"/>
          <w:bCs/>
          <w:sz w:val="28"/>
          <w:szCs w:val="28"/>
          <w:lang w:val="zh-CN"/>
        </w:rPr>
      </w:pPr>
      <w:r>
        <w:rPr>
          <w:rFonts w:hint="eastAsia" w:ascii="宋体" w:hAnsi="宋体" w:eastAsia="宋体" w:cs="宋体"/>
          <w:bCs/>
          <w:sz w:val="28"/>
          <w:szCs w:val="28"/>
          <w:lang w:val="zh-CN"/>
        </w:rPr>
        <w:t>项目实施工作在合同签订后，</w:t>
      </w:r>
      <w:r>
        <w:rPr>
          <w:rFonts w:hint="eastAsia" w:ascii="宋体" w:hAnsi="宋体" w:eastAsia="宋体" w:cs="宋体"/>
          <w:bCs/>
          <w:sz w:val="28"/>
          <w:szCs w:val="28"/>
        </w:rPr>
        <w:t>30天</w:t>
      </w:r>
      <w:r>
        <w:rPr>
          <w:rFonts w:hint="eastAsia" w:ascii="宋体" w:hAnsi="宋体" w:eastAsia="宋体" w:cs="宋体"/>
          <w:bCs/>
          <w:sz w:val="28"/>
          <w:szCs w:val="28"/>
          <w:lang w:val="zh-CN"/>
        </w:rPr>
        <w:t>内项目上线运行。</w:t>
      </w:r>
    </w:p>
    <w:p w14:paraId="66D2BF8F">
      <w:pPr>
        <w:spacing w:line="360" w:lineRule="auto"/>
        <w:ind w:firstLine="686" w:firstLineChars="245"/>
        <w:rPr>
          <w:rFonts w:hint="eastAsia" w:ascii="宋体" w:hAnsi="宋体" w:eastAsia="宋体" w:cs="宋体"/>
          <w:bCs/>
          <w:sz w:val="28"/>
          <w:szCs w:val="28"/>
          <w:lang w:val="zh-CN"/>
        </w:rPr>
      </w:pPr>
      <w:r>
        <w:rPr>
          <w:rFonts w:hint="eastAsia" w:ascii="宋体" w:hAnsi="宋体" w:eastAsia="宋体" w:cs="宋体"/>
          <w:bCs/>
          <w:sz w:val="28"/>
          <w:szCs w:val="28"/>
          <w:lang w:val="zh-CN"/>
        </w:rPr>
        <w:t>违约责任：如因采购</w:t>
      </w:r>
      <w:r>
        <w:rPr>
          <w:rFonts w:hint="eastAsia" w:ascii="宋体" w:hAnsi="宋体" w:eastAsia="宋体" w:cs="宋体"/>
          <w:bCs/>
          <w:sz w:val="28"/>
          <w:szCs w:val="28"/>
        </w:rPr>
        <w:t>人</w:t>
      </w:r>
      <w:r>
        <w:rPr>
          <w:rFonts w:hint="eastAsia" w:ascii="宋体" w:hAnsi="宋体" w:eastAsia="宋体" w:cs="宋体"/>
          <w:bCs/>
          <w:sz w:val="28"/>
          <w:szCs w:val="28"/>
          <w:lang w:val="zh-CN"/>
        </w:rPr>
        <w:t>原因导致上述工期延误，中标</w:t>
      </w:r>
      <w:r>
        <w:rPr>
          <w:rFonts w:hint="eastAsia" w:ascii="宋体" w:hAnsi="宋体" w:eastAsia="宋体" w:cs="宋体"/>
          <w:bCs/>
          <w:sz w:val="28"/>
          <w:szCs w:val="28"/>
        </w:rPr>
        <w:t>人</w:t>
      </w:r>
      <w:r>
        <w:rPr>
          <w:rFonts w:hint="eastAsia" w:ascii="宋体" w:hAnsi="宋体" w:eastAsia="宋体" w:cs="宋体"/>
          <w:bCs/>
          <w:sz w:val="28"/>
          <w:szCs w:val="28"/>
          <w:lang w:val="zh-CN"/>
        </w:rPr>
        <w:t>无违约责任；如因中标</w:t>
      </w:r>
      <w:r>
        <w:rPr>
          <w:rFonts w:hint="eastAsia" w:ascii="宋体" w:hAnsi="宋体" w:eastAsia="宋体" w:cs="宋体"/>
          <w:bCs/>
          <w:sz w:val="28"/>
          <w:szCs w:val="28"/>
        </w:rPr>
        <w:t>人</w:t>
      </w:r>
      <w:r>
        <w:rPr>
          <w:rFonts w:hint="eastAsia" w:ascii="宋体" w:hAnsi="宋体" w:eastAsia="宋体" w:cs="宋体"/>
          <w:bCs/>
          <w:sz w:val="28"/>
          <w:szCs w:val="28"/>
          <w:lang w:val="zh-CN"/>
        </w:rPr>
        <w:t>自身原因，未按约定完成上述工期，中标人确实有困难需要延长工期的，可以向采购人提出申请，采购人确认同意后可以延长工期，延长工期内无需承担违约责任；若采购人不同意延长工期或中标人在延长工期后又未按约定完成的，中标人需承担违约责任，按逾期交货总额每日千分之一向采购人支付违约金，由采购人从待付货款中扣除；逾期超过约定日期60个工作日不能交货的，采购人可解除本合同。中标人因逾期交货或因其他违约行为导致采购人解除合同的，中标人应向采购人支付合同总值5%的违约金，如造成采购人损失超过违约金的，超出部分由中标人继续承担赔偿责任。中标人所交的软件、技术参数、功能不符合合同规定及</w:t>
      </w:r>
      <w:r>
        <w:rPr>
          <w:rFonts w:hint="eastAsia" w:ascii="宋体" w:hAnsi="宋体" w:eastAsia="宋体" w:cs="宋体"/>
          <w:bCs/>
          <w:sz w:val="28"/>
          <w:szCs w:val="28"/>
        </w:rPr>
        <w:t>采购</w:t>
      </w:r>
      <w:r>
        <w:rPr>
          <w:rFonts w:hint="eastAsia" w:ascii="宋体" w:hAnsi="宋体" w:eastAsia="宋体" w:cs="宋体"/>
          <w:bCs/>
          <w:sz w:val="28"/>
          <w:szCs w:val="28"/>
          <w:lang w:val="zh-CN"/>
        </w:rPr>
        <w:t>文件规定标准的，采购人有权拒收该软件，中标人愿意满足规定标准但逾期交货的，按中标人逾期交货处理，中标人拒绝满足规定标准的，采购人可单方面解除合同。</w:t>
      </w:r>
    </w:p>
    <w:p w14:paraId="0BE7F70F">
      <w:pPr>
        <w:numPr>
          <w:ilvl w:val="0"/>
          <w:numId w:val="0"/>
        </w:numPr>
        <w:ind w:leftChars="0"/>
        <w:outlineLvl w:val="1"/>
        <w:rPr>
          <w:rFonts w:hint="eastAsia" w:ascii="Times New Roman" w:hAnsi="Times New Roman" w:eastAsia="宋体" w:cs="Times New Roman"/>
          <w:b/>
          <w:bCs/>
          <w:kern w:val="2"/>
          <w:sz w:val="28"/>
          <w:szCs w:val="28"/>
          <w:highlight w:val="none"/>
          <w:lang w:val="zh-CN" w:eastAsia="zh-CN" w:bidi="ar-SA"/>
        </w:rPr>
      </w:pPr>
      <w:r>
        <w:rPr>
          <w:rFonts w:hint="eastAsia" w:ascii="Times New Roman" w:hAnsi="Times New Roman" w:eastAsia="宋体" w:cs="Times New Roman"/>
          <w:b/>
          <w:bCs/>
          <w:kern w:val="2"/>
          <w:sz w:val="28"/>
          <w:szCs w:val="28"/>
          <w:highlight w:val="none"/>
          <w:lang w:val="en-US" w:eastAsia="zh-CN" w:bidi="ar-SA"/>
        </w:rPr>
        <w:t>六、</w:t>
      </w:r>
      <w:r>
        <w:rPr>
          <w:rFonts w:hint="eastAsia" w:ascii="Times New Roman" w:hAnsi="Times New Roman" w:eastAsia="宋体" w:cs="Times New Roman"/>
          <w:b/>
          <w:bCs/>
          <w:kern w:val="2"/>
          <w:sz w:val="28"/>
          <w:szCs w:val="28"/>
          <w:highlight w:val="none"/>
          <w:lang w:val="zh-CN" w:eastAsia="zh-CN" w:bidi="ar-SA"/>
        </w:rPr>
        <w:t>付款方式</w:t>
      </w:r>
    </w:p>
    <w:p w14:paraId="65C481E0">
      <w:pPr>
        <w:spacing w:line="460" w:lineRule="exact"/>
        <w:ind w:firstLine="686" w:firstLineChars="245"/>
        <w:rPr>
          <w:rFonts w:hint="eastAsia" w:asciiTheme="majorEastAsia" w:hAnsiTheme="majorEastAsia" w:eastAsiaTheme="majorEastAsia" w:cstheme="majorEastAsia"/>
          <w:b/>
          <w:bCs w:val="0"/>
          <w:sz w:val="32"/>
          <w:szCs w:val="32"/>
          <w:highlight w:val="none"/>
        </w:rPr>
      </w:pPr>
      <w:r>
        <w:rPr>
          <w:rFonts w:hint="eastAsia" w:ascii="宋体" w:hAnsi="宋体" w:eastAsia="宋体" w:cs="宋体"/>
          <w:bCs/>
          <w:sz w:val="28"/>
          <w:szCs w:val="28"/>
          <w:lang w:val="zh-CN"/>
        </w:rPr>
        <w:t>在合同签订生效后1个月内采购方</w:t>
      </w:r>
      <w:r>
        <w:rPr>
          <w:rFonts w:hint="eastAsia" w:ascii="宋体" w:hAnsi="宋体" w:eastAsia="宋体" w:cs="宋体"/>
          <w:b/>
          <w:bCs/>
          <w:sz w:val="28"/>
          <w:szCs w:val="28"/>
          <w:lang w:val="zh-CN"/>
        </w:rPr>
        <w:t>支付50000元</w:t>
      </w:r>
      <w:r>
        <w:rPr>
          <w:rFonts w:hint="eastAsia" w:ascii="宋体" w:hAnsi="宋体" w:eastAsia="宋体" w:cs="宋体"/>
          <w:bCs/>
          <w:sz w:val="28"/>
          <w:szCs w:val="28"/>
          <w:lang w:val="zh-CN"/>
        </w:rPr>
        <w:t>（伍万元整）；</w:t>
      </w:r>
      <w:r>
        <w:rPr>
          <w:rFonts w:hint="eastAsia" w:ascii="宋体" w:hAnsi="宋体" w:eastAsia="宋体" w:cs="宋体"/>
          <w:bCs/>
          <w:sz w:val="28"/>
          <w:szCs w:val="28"/>
        </w:rPr>
        <w:t>设备到货验收</w:t>
      </w:r>
      <w:r>
        <w:rPr>
          <w:rFonts w:hint="eastAsia" w:ascii="宋体" w:hAnsi="宋体" w:eastAsia="宋体" w:cs="宋体"/>
          <w:bCs/>
          <w:sz w:val="28"/>
          <w:szCs w:val="28"/>
          <w:lang w:val="zh-CN"/>
        </w:rPr>
        <w:t>合格并出具终验证明后1 个月内支付</w:t>
      </w:r>
      <w:r>
        <w:rPr>
          <w:rFonts w:hint="eastAsia" w:ascii="宋体" w:hAnsi="宋体" w:eastAsia="宋体" w:cs="宋体"/>
          <w:b/>
          <w:bCs/>
          <w:sz w:val="28"/>
          <w:szCs w:val="28"/>
          <w:lang w:val="zh-CN"/>
        </w:rPr>
        <w:t>剩余金额</w:t>
      </w:r>
      <w:r>
        <w:rPr>
          <w:rFonts w:hint="eastAsia" w:ascii="宋体" w:hAnsi="宋体" w:eastAsia="宋体" w:cs="宋体"/>
          <w:bCs/>
          <w:sz w:val="28"/>
          <w:szCs w:val="28"/>
          <w:lang w:val="zh-CN"/>
        </w:rPr>
        <w:t>。中标人须在采购人支付前按要求开具合法合规普通发票，如因中标人发票开具延迟导致的支付延迟将由中标人承担责任。</w:t>
      </w:r>
    </w:p>
    <w:p w14:paraId="066F63C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77FE3354">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57DBBA0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5D12C1E5">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60348783">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395AA10">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89202C9">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0005545A">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535518C4">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0924B228">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60032457">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55288506">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0130DC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14C79B71">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6E2C5B4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0DBFE1E">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七、投标文件组成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7"/>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7"/>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w:t>
      </w:r>
      <w:r>
        <w:rPr>
          <w:rFonts w:hint="eastAsia" w:asciiTheme="majorEastAsia" w:hAnsiTheme="majorEastAsia" w:eastAsiaTheme="majorEastAsia" w:cstheme="majorEastAsia"/>
          <w:sz w:val="24"/>
          <w:szCs w:val="24"/>
          <w:highlight w:val="yellow"/>
        </w:rPr>
        <w:t>分别装于技术标和商务标内</w:t>
      </w:r>
      <w:r>
        <w:rPr>
          <w:rFonts w:hint="eastAsia" w:asciiTheme="majorEastAsia" w:hAnsiTheme="majorEastAsia" w:eastAsiaTheme="majorEastAsia" w:cstheme="majorEastAsia"/>
          <w:sz w:val="24"/>
          <w:szCs w:val="24"/>
          <w:highlight w:val="none"/>
        </w:rPr>
        <w:t>。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5"/>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1B7B4FE">
      <w:pPr>
        <w:pStyle w:val="5"/>
        <w:rPr>
          <w:rFonts w:hint="eastAsia" w:ascii="新宋体" w:hAnsi="新宋体" w:eastAsia="新宋体" w:cs="宋体"/>
          <w:b/>
          <w:bCs/>
          <w:kern w:val="0"/>
          <w:sz w:val="32"/>
          <w:szCs w:val="32"/>
          <w:highlight w:val="none"/>
          <w:lang w:val="en-US" w:eastAsia="zh-CN" w:bidi="ar-SA"/>
        </w:rPr>
      </w:pPr>
    </w:p>
    <w:p w14:paraId="749DC2AF">
      <w:pPr>
        <w:rPr>
          <w:rFonts w:hint="eastAsia" w:ascii="新宋体" w:hAnsi="新宋体" w:eastAsia="新宋体" w:cs="宋体"/>
          <w:b/>
          <w:bCs/>
          <w:kern w:val="0"/>
          <w:sz w:val="32"/>
          <w:szCs w:val="32"/>
          <w:highlight w:val="none"/>
          <w:lang w:val="en-US" w:eastAsia="zh-CN" w:bidi="ar-SA"/>
        </w:rPr>
      </w:pPr>
    </w:p>
    <w:p w14:paraId="0E6B38C8">
      <w:pPr>
        <w:pStyle w:val="5"/>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4"/>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p w14:paraId="721E6A4E">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tbl>
      <w:tblPr>
        <w:tblStyle w:val="17"/>
        <w:tblW w:w="84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358"/>
        <w:gridCol w:w="740"/>
        <w:gridCol w:w="5678"/>
      </w:tblGrid>
      <w:tr w14:paraId="2FD21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5E576C48">
            <w:pPr>
              <w:widowControl/>
              <w:jc w:val="center"/>
              <w:rPr>
                <w:rFonts w:ascii="宋体" w:hAnsi="宋体"/>
                <w:sz w:val="22"/>
                <w:szCs w:val="22"/>
              </w:rPr>
            </w:pPr>
            <w:r>
              <w:rPr>
                <w:rFonts w:hint="eastAsia" w:ascii="宋体" w:hAnsi="宋体"/>
                <w:sz w:val="22"/>
                <w:szCs w:val="22"/>
              </w:rPr>
              <w:t>序号</w:t>
            </w:r>
          </w:p>
        </w:tc>
        <w:tc>
          <w:tcPr>
            <w:tcW w:w="1358" w:type="dxa"/>
            <w:shd w:val="clear" w:color="auto" w:fill="auto"/>
            <w:noWrap/>
            <w:vAlign w:val="center"/>
          </w:tcPr>
          <w:p w14:paraId="3BBBEC8D">
            <w:pPr>
              <w:widowControl/>
              <w:jc w:val="center"/>
              <w:rPr>
                <w:rFonts w:ascii="宋体" w:hAnsi="宋体"/>
                <w:sz w:val="22"/>
                <w:szCs w:val="22"/>
              </w:rPr>
            </w:pPr>
            <w:r>
              <w:rPr>
                <w:rFonts w:hint="eastAsia" w:ascii="宋体" w:hAnsi="宋体"/>
                <w:sz w:val="22"/>
                <w:szCs w:val="22"/>
              </w:rPr>
              <w:t>评分内容</w:t>
            </w:r>
          </w:p>
        </w:tc>
        <w:tc>
          <w:tcPr>
            <w:tcW w:w="740" w:type="dxa"/>
            <w:shd w:val="clear" w:color="auto" w:fill="auto"/>
            <w:noWrap/>
            <w:vAlign w:val="center"/>
          </w:tcPr>
          <w:p w14:paraId="51BD070A">
            <w:pPr>
              <w:widowControl/>
              <w:jc w:val="center"/>
              <w:rPr>
                <w:rFonts w:ascii="宋体" w:hAnsi="宋体"/>
                <w:sz w:val="22"/>
                <w:szCs w:val="22"/>
              </w:rPr>
            </w:pPr>
            <w:r>
              <w:rPr>
                <w:rFonts w:hint="eastAsia" w:ascii="宋体" w:hAnsi="宋体"/>
                <w:sz w:val="22"/>
                <w:szCs w:val="22"/>
              </w:rPr>
              <w:t>分值</w:t>
            </w:r>
          </w:p>
        </w:tc>
        <w:tc>
          <w:tcPr>
            <w:tcW w:w="5678" w:type="dxa"/>
            <w:shd w:val="clear" w:color="auto" w:fill="auto"/>
            <w:noWrap/>
            <w:vAlign w:val="center"/>
          </w:tcPr>
          <w:p w14:paraId="744848CE">
            <w:pPr>
              <w:widowControl/>
              <w:jc w:val="center"/>
              <w:rPr>
                <w:rFonts w:ascii="宋体" w:hAnsi="宋体"/>
                <w:sz w:val="22"/>
                <w:szCs w:val="22"/>
              </w:rPr>
            </w:pPr>
            <w:r>
              <w:rPr>
                <w:rFonts w:hint="eastAsia" w:ascii="宋体" w:hAnsi="宋体"/>
                <w:sz w:val="22"/>
                <w:szCs w:val="22"/>
              </w:rPr>
              <w:t>评分细则</w:t>
            </w:r>
          </w:p>
        </w:tc>
      </w:tr>
      <w:tr w14:paraId="3D421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26983660">
            <w:pPr>
              <w:widowControl/>
              <w:rPr>
                <w:rFonts w:ascii="宋体" w:hAnsi="宋体" w:cs="宋体"/>
                <w:color w:val="000000"/>
                <w:kern w:val="0"/>
                <w:szCs w:val="21"/>
              </w:rPr>
            </w:pPr>
            <w:r>
              <w:rPr>
                <w:rFonts w:hint="eastAsia" w:ascii="宋体" w:hAnsi="宋体" w:cs="宋体"/>
                <w:color w:val="000000"/>
                <w:kern w:val="0"/>
                <w:szCs w:val="21"/>
              </w:rPr>
              <w:t>1</w:t>
            </w:r>
          </w:p>
        </w:tc>
        <w:tc>
          <w:tcPr>
            <w:tcW w:w="1358" w:type="dxa"/>
            <w:shd w:val="clear" w:color="auto" w:fill="auto"/>
            <w:noWrap/>
            <w:vAlign w:val="center"/>
          </w:tcPr>
          <w:p w14:paraId="374DD310">
            <w:pPr>
              <w:widowControl/>
              <w:rPr>
                <w:rFonts w:ascii="宋体" w:hAnsi="宋体" w:cs="宋体"/>
                <w:color w:val="000000"/>
                <w:kern w:val="0"/>
                <w:szCs w:val="21"/>
              </w:rPr>
            </w:pPr>
            <w:r>
              <w:rPr>
                <w:rFonts w:hint="eastAsia" w:ascii="宋体" w:hAnsi="宋体"/>
                <w:sz w:val="22"/>
                <w:szCs w:val="22"/>
              </w:rPr>
              <w:t>投标人综合实力</w:t>
            </w:r>
          </w:p>
        </w:tc>
        <w:tc>
          <w:tcPr>
            <w:tcW w:w="740" w:type="dxa"/>
            <w:shd w:val="clear" w:color="auto" w:fill="auto"/>
            <w:noWrap/>
            <w:vAlign w:val="center"/>
          </w:tcPr>
          <w:p w14:paraId="7768C23D">
            <w:pPr>
              <w:widowControl/>
              <w:jc w:val="center"/>
              <w:rPr>
                <w:rFonts w:ascii="宋体" w:hAnsi="宋体" w:cs="宋体"/>
                <w:color w:val="000000"/>
                <w:kern w:val="0"/>
                <w:szCs w:val="21"/>
              </w:rPr>
            </w:pPr>
            <w:r>
              <w:rPr>
                <w:rFonts w:hint="eastAsia" w:ascii="宋体" w:hAnsi="宋体"/>
                <w:sz w:val="22"/>
                <w:szCs w:val="22"/>
              </w:rPr>
              <w:t>5</w:t>
            </w:r>
          </w:p>
        </w:tc>
        <w:tc>
          <w:tcPr>
            <w:tcW w:w="5678" w:type="dxa"/>
            <w:shd w:val="clear" w:color="auto" w:fill="auto"/>
            <w:noWrap/>
          </w:tcPr>
          <w:p w14:paraId="18F88B4F">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投标人具有质量管理体系认证证书、环境管理体系认证证书、职业健康安全管理体系认证证书、信息技术服务管理体系认证证书、信息安全管理体系认证证书的每个证书得1分，最高得5分。</w:t>
            </w:r>
          </w:p>
          <w:p w14:paraId="21554D81">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提供有效期内证书复印件加盖公章，否则不得分。</w:t>
            </w:r>
          </w:p>
        </w:tc>
      </w:tr>
      <w:tr w14:paraId="15AB2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635" w:type="dxa"/>
            <w:shd w:val="clear" w:color="auto" w:fill="auto"/>
            <w:noWrap/>
            <w:vAlign w:val="center"/>
          </w:tcPr>
          <w:p w14:paraId="16891A9B">
            <w:pPr>
              <w:widowControl/>
              <w:rPr>
                <w:rFonts w:ascii="宋体" w:hAnsi="宋体" w:cs="宋体"/>
                <w:color w:val="000000"/>
                <w:kern w:val="0"/>
                <w:szCs w:val="21"/>
              </w:rPr>
            </w:pPr>
            <w:r>
              <w:rPr>
                <w:rFonts w:hint="eastAsia" w:ascii="宋体" w:hAnsi="宋体" w:cs="宋体"/>
                <w:color w:val="000000"/>
                <w:kern w:val="0"/>
                <w:szCs w:val="21"/>
              </w:rPr>
              <w:t>2</w:t>
            </w:r>
          </w:p>
        </w:tc>
        <w:tc>
          <w:tcPr>
            <w:tcW w:w="1358" w:type="dxa"/>
            <w:shd w:val="clear" w:color="auto" w:fill="auto"/>
            <w:noWrap/>
            <w:vAlign w:val="center"/>
          </w:tcPr>
          <w:p w14:paraId="21A75CF4">
            <w:pPr>
              <w:widowControl/>
              <w:rPr>
                <w:rFonts w:ascii="宋体" w:hAnsi="宋体" w:cs="宋体"/>
                <w:color w:val="000000"/>
                <w:kern w:val="0"/>
                <w:szCs w:val="21"/>
              </w:rPr>
            </w:pPr>
            <w:r>
              <w:rPr>
                <w:rFonts w:hint="eastAsia" w:ascii="宋体" w:hAnsi="宋体"/>
                <w:sz w:val="22"/>
                <w:szCs w:val="22"/>
              </w:rPr>
              <w:t>类似项目业绩</w:t>
            </w:r>
          </w:p>
        </w:tc>
        <w:tc>
          <w:tcPr>
            <w:tcW w:w="740" w:type="dxa"/>
            <w:shd w:val="clear" w:color="auto" w:fill="auto"/>
            <w:noWrap/>
            <w:vAlign w:val="center"/>
          </w:tcPr>
          <w:p w14:paraId="5E7B1D18">
            <w:pPr>
              <w:widowControl/>
              <w:jc w:val="center"/>
              <w:rPr>
                <w:rFonts w:ascii="宋体" w:hAnsi="宋体" w:cs="宋体"/>
                <w:color w:val="000000"/>
                <w:kern w:val="0"/>
                <w:szCs w:val="21"/>
              </w:rPr>
            </w:pPr>
            <w:r>
              <w:rPr>
                <w:rFonts w:hint="eastAsia" w:ascii="宋体" w:hAnsi="宋体"/>
                <w:sz w:val="22"/>
                <w:szCs w:val="22"/>
              </w:rPr>
              <w:t>3</w:t>
            </w:r>
          </w:p>
        </w:tc>
        <w:tc>
          <w:tcPr>
            <w:tcW w:w="5678" w:type="dxa"/>
            <w:shd w:val="clear" w:color="auto" w:fill="auto"/>
            <w:noWrap/>
            <w:vAlign w:val="center"/>
          </w:tcPr>
          <w:p w14:paraId="665FF2A5">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2021年1月1日以来至今（以合同签订时间为准）投标人承接过类似项目业绩，每提供一个合同得1分，本项最高得3分。</w:t>
            </w:r>
          </w:p>
          <w:p w14:paraId="0D216ACB">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注：提供合同复印件并加盖投标人公章，否则不得分。</w:t>
            </w:r>
          </w:p>
        </w:tc>
      </w:tr>
      <w:tr w14:paraId="7A33D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568B8A95">
            <w:pPr>
              <w:widowControl/>
              <w:rPr>
                <w:rFonts w:ascii="宋体" w:hAnsi="宋体" w:cs="宋体"/>
                <w:color w:val="000000"/>
                <w:kern w:val="0"/>
                <w:szCs w:val="21"/>
              </w:rPr>
            </w:pPr>
            <w:r>
              <w:rPr>
                <w:rFonts w:hint="eastAsia" w:ascii="宋体" w:hAnsi="宋体" w:cs="宋体"/>
                <w:color w:val="000000"/>
                <w:kern w:val="0"/>
                <w:szCs w:val="21"/>
              </w:rPr>
              <w:t>3</w:t>
            </w:r>
          </w:p>
        </w:tc>
        <w:tc>
          <w:tcPr>
            <w:tcW w:w="1358" w:type="dxa"/>
            <w:shd w:val="clear" w:color="auto" w:fill="auto"/>
            <w:noWrap/>
            <w:vAlign w:val="center"/>
          </w:tcPr>
          <w:p w14:paraId="342814C7">
            <w:pPr>
              <w:jc w:val="center"/>
              <w:rPr>
                <w:rFonts w:ascii="宋体" w:hAnsi="宋体"/>
                <w:sz w:val="22"/>
                <w:szCs w:val="22"/>
              </w:rPr>
            </w:pPr>
            <w:r>
              <w:rPr>
                <w:rFonts w:hint="eastAsia" w:ascii="宋体" w:hAnsi="宋体"/>
                <w:sz w:val="22"/>
                <w:szCs w:val="22"/>
              </w:rPr>
              <w:t>技术要求</w:t>
            </w:r>
          </w:p>
          <w:p w14:paraId="75F2DDE6">
            <w:pPr>
              <w:widowControl/>
              <w:rPr>
                <w:rFonts w:ascii="宋体" w:hAnsi="宋体" w:cs="宋体"/>
                <w:color w:val="000000"/>
                <w:kern w:val="0"/>
                <w:szCs w:val="21"/>
              </w:rPr>
            </w:pPr>
          </w:p>
        </w:tc>
        <w:tc>
          <w:tcPr>
            <w:tcW w:w="740" w:type="dxa"/>
            <w:shd w:val="clear" w:color="auto" w:fill="auto"/>
            <w:noWrap/>
            <w:vAlign w:val="center"/>
          </w:tcPr>
          <w:p w14:paraId="063CC308">
            <w:pPr>
              <w:widowControl/>
              <w:jc w:val="center"/>
              <w:rPr>
                <w:rFonts w:ascii="宋体" w:hAnsi="宋体" w:cs="宋体"/>
                <w:color w:val="000000"/>
                <w:kern w:val="0"/>
                <w:szCs w:val="21"/>
              </w:rPr>
            </w:pPr>
            <w:r>
              <w:rPr>
                <w:rFonts w:hint="eastAsia" w:ascii="宋体" w:hAnsi="宋体"/>
                <w:sz w:val="22"/>
                <w:szCs w:val="22"/>
              </w:rPr>
              <w:t>30</w:t>
            </w:r>
          </w:p>
        </w:tc>
        <w:tc>
          <w:tcPr>
            <w:tcW w:w="5678" w:type="dxa"/>
            <w:shd w:val="clear" w:color="auto" w:fill="auto"/>
            <w:noWrap/>
            <w:vAlign w:val="center"/>
          </w:tcPr>
          <w:p w14:paraId="645F5ADB">
            <w:pPr>
              <w:pStyle w:val="9"/>
              <w:adjustRightInd w:val="0"/>
              <w:snapToGrid w:val="0"/>
              <w:rPr>
                <w:rFonts w:hAnsi="宋体" w:eastAsia="宋体" w:cs="宋体"/>
                <w:sz w:val="22"/>
                <w:szCs w:val="22"/>
              </w:rPr>
            </w:pPr>
            <w:r>
              <w:rPr>
                <w:rFonts w:hint="eastAsia" w:hAnsi="宋体" w:eastAsia="宋体" w:cs="宋体"/>
                <w:color w:val="000000"/>
                <w:sz w:val="22"/>
                <w:szCs w:val="22"/>
              </w:rPr>
              <w:t>按照所投产品综合配置、性能技术指标、与招标文件要求响应情况进行打分，带▲参数低于招标文件要求的按无效，</w:t>
            </w:r>
            <w:r>
              <w:rPr>
                <w:rFonts w:hint="eastAsia" w:hAnsi="宋体" w:cs="宋体"/>
                <w:sz w:val="22"/>
                <w:szCs w:val="22"/>
              </w:rPr>
              <w:t>投标产品完全满足招标文件的所有技术指标最高得30分。</w:t>
            </w:r>
          </w:p>
          <w:p w14:paraId="3406F51C">
            <w:pPr>
              <w:pStyle w:val="9"/>
              <w:adjustRightInd w:val="0"/>
              <w:snapToGrid w:val="0"/>
              <w:rPr>
                <w:rFonts w:hAnsi="宋体" w:cs="宋体"/>
                <w:sz w:val="22"/>
                <w:szCs w:val="22"/>
              </w:rPr>
            </w:pPr>
            <w:r>
              <w:rPr>
                <w:rFonts w:hint="eastAsia" w:hAnsi="宋体" w:cs="宋体"/>
                <w:sz w:val="22"/>
                <w:szCs w:val="22"/>
              </w:rPr>
              <w:t>①重要条款（带</w:t>
            </w:r>
            <w:r>
              <w:rPr>
                <w:rFonts w:hint="eastAsia" w:hAnsi="宋体" w:cs="宋体"/>
                <w:bCs/>
                <w:sz w:val="22"/>
                <w:szCs w:val="22"/>
              </w:rPr>
              <w:t>★项</w:t>
            </w:r>
            <w:r>
              <w:rPr>
                <w:rFonts w:hint="eastAsia" w:hAnsi="宋体" w:cs="宋体"/>
                <w:sz w:val="22"/>
                <w:szCs w:val="22"/>
              </w:rPr>
              <w:t>）：每不满足一项扣6分，扣完为止。</w:t>
            </w:r>
          </w:p>
          <w:p w14:paraId="4943B727">
            <w:pPr>
              <w:pStyle w:val="9"/>
              <w:adjustRightInd w:val="0"/>
              <w:snapToGrid w:val="0"/>
              <w:rPr>
                <w:rFonts w:hAnsi="宋体" w:cs="宋体"/>
                <w:sz w:val="22"/>
                <w:szCs w:val="22"/>
                <w:lang w:val="en"/>
              </w:rPr>
            </w:pPr>
            <w:r>
              <w:rPr>
                <w:rFonts w:hint="eastAsia" w:hAnsi="宋体" w:cs="宋体"/>
                <w:sz w:val="22"/>
                <w:szCs w:val="22"/>
              </w:rPr>
              <w:t>②一般条款（未带</w:t>
            </w:r>
            <w:r>
              <w:rPr>
                <w:rFonts w:hint="eastAsia" w:hAnsi="宋体" w:cs="宋体"/>
                <w:bCs/>
                <w:sz w:val="22"/>
                <w:szCs w:val="22"/>
              </w:rPr>
              <w:t>★</w:t>
            </w:r>
            <w:r>
              <w:rPr>
                <w:rFonts w:hint="eastAsia" w:hAnsi="宋体" w:cs="宋体"/>
                <w:sz w:val="22"/>
                <w:szCs w:val="22"/>
              </w:rPr>
              <w:t>项）：每不满足一项扣3分，扣完为止。</w:t>
            </w:r>
          </w:p>
          <w:p w14:paraId="60680888">
            <w:pPr>
              <w:spacing w:line="460" w:lineRule="exact"/>
              <w:jc w:val="left"/>
              <w:rPr>
                <w:rFonts w:ascii="新宋体" w:hAnsi="新宋体" w:eastAsia="新宋体" w:cs="新宋体"/>
                <w:sz w:val="22"/>
                <w:szCs w:val="22"/>
              </w:rPr>
            </w:pPr>
            <w:r>
              <w:rPr>
                <w:rFonts w:hint="eastAsia" w:hAnsi="宋体" w:cs="宋体"/>
                <w:b/>
                <w:sz w:val="22"/>
              </w:rPr>
              <w:t>累计扣分不超过30分</w:t>
            </w:r>
          </w:p>
        </w:tc>
      </w:tr>
      <w:tr w14:paraId="0D27E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63C53F38">
            <w:pPr>
              <w:widowControl/>
              <w:rPr>
                <w:rFonts w:ascii="宋体" w:hAnsi="宋体" w:cs="宋体"/>
                <w:color w:val="000000"/>
                <w:kern w:val="0"/>
                <w:szCs w:val="21"/>
              </w:rPr>
            </w:pPr>
            <w:r>
              <w:rPr>
                <w:rFonts w:hint="eastAsia" w:ascii="宋体" w:hAnsi="宋体" w:cs="宋体"/>
                <w:color w:val="000000"/>
                <w:kern w:val="0"/>
                <w:szCs w:val="21"/>
              </w:rPr>
              <w:t>4</w:t>
            </w:r>
          </w:p>
        </w:tc>
        <w:tc>
          <w:tcPr>
            <w:tcW w:w="1358" w:type="dxa"/>
            <w:shd w:val="clear" w:color="auto" w:fill="auto"/>
            <w:noWrap/>
            <w:vAlign w:val="center"/>
          </w:tcPr>
          <w:p w14:paraId="5E9A7E0C">
            <w:pPr>
              <w:widowControl/>
              <w:rPr>
                <w:rFonts w:ascii="宋体" w:hAnsi="宋体" w:cs="宋体"/>
                <w:color w:val="000000"/>
                <w:kern w:val="0"/>
                <w:szCs w:val="21"/>
              </w:rPr>
            </w:pPr>
            <w:r>
              <w:rPr>
                <w:rFonts w:hint="eastAsia" w:ascii="宋体" w:hAnsi="宋体"/>
                <w:sz w:val="22"/>
                <w:szCs w:val="22"/>
              </w:rPr>
              <w:t>实施方案</w:t>
            </w:r>
          </w:p>
        </w:tc>
        <w:tc>
          <w:tcPr>
            <w:tcW w:w="740" w:type="dxa"/>
            <w:shd w:val="clear" w:color="auto" w:fill="auto"/>
            <w:noWrap/>
            <w:vAlign w:val="center"/>
          </w:tcPr>
          <w:p w14:paraId="55FA58BD">
            <w:pPr>
              <w:widowControl/>
              <w:jc w:val="center"/>
              <w:rPr>
                <w:rFonts w:ascii="宋体" w:hAnsi="宋体" w:cs="宋体"/>
                <w:color w:val="000000"/>
                <w:kern w:val="0"/>
                <w:szCs w:val="21"/>
              </w:rPr>
            </w:pPr>
            <w:r>
              <w:rPr>
                <w:rFonts w:hint="eastAsia" w:ascii="宋体" w:hAnsi="宋体"/>
                <w:sz w:val="22"/>
                <w:szCs w:val="22"/>
              </w:rPr>
              <w:t>9</w:t>
            </w:r>
          </w:p>
        </w:tc>
        <w:tc>
          <w:tcPr>
            <w:tcW w:w="5678" w:type="dxa"/>
            <w:shd w:val="clear" w:color="auto" w:fill="auto"/>
            <w:noWrap/>
            <w:vAlign w:val="center"/>
          </w:tcPr>
          <w:p w14:paraId="7BD81A33">
            <w:pPr>
              <w:spacing w:line="460" w:lineRule="exact"/>
              <w:jc w:val="left"/>
              <w:rPr>
                <w:rFonts w:ascii="新宋体" w:hAnsi="新宋体" w:eastAsia="新宋体" w:cs="新宋体"/>
                <w:sz w:val="22"/>
                <w:szCs w:val="22"/>
              </w:rPr>
            </w:pPr>
            <w:r>
              <w:rPr>
                <w:rFonts w:hint="eastAsia" w:ascii="宋体" w:hAnsi="宋体" w:cs="宋体"/>
                <w:kern w:val="0"/>
                <w:sz w:val="22"/>
                <w:lang w:bidi="ar"/>
              </w:rPr>
              <w:t>根据投标供应商提供的具体实施方案(包括但不限于施工组织计划、安全保证措施、质量保证措施、进度保证措施和环境保证措施等)进行打分，评分范围</w:t>
            </w:r>
            <w:r>
              <w:rPr>
                <w:rFonts w:hint="eastAsia" w:ascii="新宋体" w:hAnsi="新宋体" w:eastAsia="新宋体" w:cs="新宋体"/>
                <w:sz w:val="22"/>
                <w:szCs w:val="22"/>
              </w:rPr>
              <w:t>：9分、8分、7分、6分、5分、4分、3分、2分、1分、0分。</w:t>
            </w:r>
          </w:p>
        </w:tc>
      </w:tr>
      <w:tr w14:paraId="36056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59AF484D">
            <w:pPr>
              <w:widowControl/>
              <w:rPr>
                <w:rFonts w:ascii="宋体" w:hAnsi="宋体" w:cs="宋体"/>
                <w:color w:val="000000"/>
                <w:kern w:val="0"/>
                <w:szCs w:val="21"/>
              </w:rPr>
            </w:pPr>
            <w:r>
              <w:rPr>
                <w:rFonts w:hint="eastAsia" w:ascii="宋体" w:hAnsi="宋体" w:cs="宋体"/>
                <w:color w:val="000000"/>
                <w:kern w:val="0"/>
                <w:szCs w:val="21"/>
              </w:rPr>
              <w:t>6</w:t>
            </w:r>
          </w:p>
        </w:tc>
        <w:tc>
          <w:tcPr>
            <w:tcW w:w="1358" w:type="dxa"/>
            <w:shd w:val="clear" w:color="auto" w:fill="auto"/>
            <w:noWrap/>
            <w:vAlign w:val="center"/>
          </w:tcPr>
          <w:p w14:paraId="737C66EA">
            <w:pPr>
              <w:widowControl/>
              <w:rPr>
                <w:rFonts w:ascii="宋体" w:hAnsi="宋体" w:cs="宋体"/>
                <w:color w:val="000000"/>
                <w:kern w:val="0"/>
                <w:szCs w:val="21"/>
              </w:rPr>
            </w:pPr>
            <w:r>
              <w:rPr>
                <w:rFonts w:hint="eastAsia" w:ascii="新宋体" w:hAnsi="新宋体" w:eastAsia="新宋体" w:cs="新宋体"/>
                <w:sz w:val="22"/>
                <w:szCs w:val="22"/>
              </w:rPr>
              <w:t>信息安全</w:t>
            </w:r>
            <w:r>
              <w:rPr>
                <w:rFonts w:hint="eastAsia" w:ascii="宋体" w:hAnsi="宋体"/>
                <w:sz w:val="22"/>
                <w:szCs w:val="22"/>
              </w:rPr>
              <w:t>能力</w:t>
            </w:r>
          </w:p>
        </w:tc>
        <w:tc>
          <w:tcPr>
            <w:tcW w:w="740" w:type="dxa"/>
            <w:shd w:val="clear" w:color="auto" w:fill="auto"/>
            <w:noWrap/>
            <w:vAlign w:val="center"/>
          </w:tcPr>
          <w:p w14:paraId="2AF79DE2">
            <w:pPr>
              <w:widowControl/>
              <w:jc w:val="center"/>
              <w:rPr>
                <w:rFonts w:ascii="宋体" w:hAnsi="宋体" w:cs="宋体"/>
                <w:color w:val="000000"/>
                <w:kern w:val="0"/>
                <w:szCs w:val="21"/>
              </w:rPr>
            </w:pPr>
            <w:r>
              <w:rPr>
                <w:rFonts w:hint="eastAsia" w:ascii="宋体" w:hAnsi="宋体"/>
                <w:sz w:val="22"/>
                <w:szCs w:val="22"/>
              </w:rPr>
              <w:t>3</w:t>
            </w:r>
          </w:p>
        </w:tc>
        <w:tc>
          <w:tcPr>
            <w:tcW w:w="5678" w:type="dxa"/>
            <w:shd w:val="clear" w:color="auto" w:fill="auto"/>
            <w:noWrap/>
            <w:vAlign w:val="center"/>
          </w:tcPr>
          <w:p w14:paraId="4DE3085A">
            <w:pPr>
              <w:widowControl/>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提供印有备案公安机关公章的信息安全等级保护三级及以上备案证书得3分，须提供证书复印件并加盖公章，未提供或无法辨析不得分。</w:t>
            </w:r>
          </w:p>
        </w:tc>
      </w:tr>
      <w:tr w14:paraId="6F77F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4CF8DC70">
            <w:pPr>
              <w:widowControl/>
              <w:rPr>
                <w:rFonts w:ascii="宋体" w:hAnsi="宋体" w:cs="宋体"/>
                <w:color w:val="000000"/>
                <w:kern w:val="0"/>
                <w:szCs w:val="21"/>
              </w:rPr>
            </w:pPr>
            <w:r>
              <w:rPr>
                <w:rFonts w:hint="eastAsia" w:ascii="宋体" w:hAnsi="宋体" w:cs="宋体"/>
                <w:color w:val="000000"/>
                <w:kern w:val="0"/>
                <w:szCs w:val="21"/>
              </w:rPr>
              <w:t>7</w:t>
            </w:r>
          </w:p>
        </w:tc>
        <w:tc>
          <w:tcPr>
            <w:tcW w:w="1358" w:type="dxa"/>
            <w:shd w:val="clear" w:color="auto" w:fill="auto"/>
            <w:noWrap/>
            <w:vAlign w:val="center"/>
          </w:tcPr>
          <w:p w14:paraId="1E0A8EE5">
            <w:pPr>
              <w:widowControl/>
              <w:rPr>
                <w:rFonts w:ascii="宋体" w:hAnsi="宋体" w:cs="宋体"/>
                <w:color w:val="000000"/>
                <w:kern w:val="0"/>
                <w:szCs w:val="21"/>
              </w:rPr>
            </w:pPr>
            <w:r>
              <w:rPr>
                <w:rFonts w:hint="eastAsia" w:ascii="宋体" w:hAnsi="宋体"/>
                <w:sz w:val="22"/>
                <w:szCs w:val="22"/>
              </w:rPr>
              <w:t>拟派服务团队配置</w:t>
            </w:r>
          </w:p>
        </w:tc>
        <w:tc>
          <w:tcPr>
            <w:tcW w:w="740" w:type="dxa"/>
            <w:shd w:val="clear" w:color="auto" w:fill="auto"/>
            <w:noWrap/>
            <w:vAlign w:val="center"/>
          </w:tcPr>
          <w:p w14:paraId="41A6E65C">
            <w:pPr>
              <w:widowControl/>
              <w:jc w:val="center"/>
              <w:rPr>
                <w:rFonts w:ascii="宋体" w:hAnsi="宋体" w:cs="宋体"/>
                <w:color w:val="000000"/>
                <w:kern w:val="0"/>
                <w:szCs w:val="21"/>
              </w:rPr>
            </w:pPr>
            <w:r>
              <w:rPr>
                <w:rFonts w:hint="eastAsia" w:ascii="宋体" w:hAnsi="宋体"/>
                <w:sz w:val="22"/>
                <w:szCs w:val="22"/>
              </w:rPr>
              <w:t>15</w:t>
            </w:r>
          </w:p>
        </w:tc>
        <w:tc>
          <w:tcPr>
            <w:tcW w:w="5678" w:type="dxa"/>
            <w:shd w:val="clear" w:color="auto" w:fill="auto"/>
            <w:noWrap/>
            <w:vAlign w:val="center"/>
          </w:tcPr>
          <w:p w14:paraId="39496497">
            <w:pPr>
              <w:widowControl/>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1、项目负责人（一名）持有信息系统项目管理师证书、信创系统架构师证书、数据库系统工程师证书，全部具备得3分。</w:t>
            </w:r>
          </w:p>
          <w:p w14:paraId="759DB924">
            <w:pPr>
              <w:widowControl/>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2、技术负责人（一名）持有软件设计师证书、高级软件开发工程师证书、高级数据库管理工程师证书，全部具备得3分</w:t>
            </w:r>
          </w:p>
          <w:p w14:paraId="65A5955E">
            <w:pPr>
              <w:widowControl/>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3、安全负责人（一名）持有注册信息安全工程师证书、注册信息系统审计师证书、信创集成项目管理师，全部具备得3分</w:t>
            </w:r>
          </w:p>
          <w:p w14:paraId="433DF8FB">
            <w:pPr>
              <w:widowControl/>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4、技术团队中有成员持有高级程序员证书、IT服务项目经理证书、系统架构设计师证书，每提供1个得1分，本项最高得6分。</w:t>
            </w:r>
          </w:p>
          <w:p w14:paraId="54A6C910">
            <w:pPr>
              <w:widowControl/>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以上提供相关人员证书扫描件加盖电子公章和在投标单位近3个月（含）以上连续缴纳的社保证明扫描件加盖电子公章，两者提供不全均不得分。）</w:t>
            </w:r>
          </w:p>
        </w:tc>
      </w:tr>
      <w:tr w14:paraId="1BEC9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7384873B">
            <w:pPr>
              <w:widowControl/>
              <w:rPr>
                <w:rFonts w:ascii="宋体" w:hAnsi="宋体" w:cs="宋体"/>
                <w:color w:val="000000"/>
                <w:kern w:val="0"/>
                <w:szCs w:val="21"/>
              </w:rPr>
            </w:pPr>
            <w:r>
              <w:rPr>
                <w:rFonts w:hint="eastAsia" w:ascii="宋体" w:hAnsi="宋体" w:cs="宋体"/>
                <w:color w:val="000000"/>
                <w:kern w:val="0"/>
                <w:szCs w:val="21"/>
              </w:rPr>
              <w:t>8</w:t>
            </w:r>
          </w:p>
        </w:tc>
        <w:tc>
          <w:tcPr>
            <w:tcW w:w="1358" w:type="dxa"/>
            <w:shd w:val="clear" w:color="auto" w:fill="auto"/>
            <w:noWrap/>
            <w:vAlign w:val="center"/>
          </w:tcPr>
          <w:p w14:paraId="46BAB34B">
            <w:pPr>
              <w:widowControl/>
              <w:rPr>
                <w:rFonts w:ascii="宋体" w:hAnsi="宋体" w:cs="宋体"/>
                <w:color w:val="000000"/>
                <w:kern w:val="0"/>
                <w:szCs w:val="21"/>
              </w:rPr>
            </w:pPr>
            <w:r>
              <w:rPr>
                <w:rFonts w:hint="eastAsia" w:ascii="宋体" w:hAnsi="宋体"/>
                <w:sz w:val="22"/>
                <w:szCs w:val="22"/>
              </w:rPr>
              <w:t>售后服务方案</w:t>
            </w:r>
          </w:p>
        </w:tc>
        <w:tc>
          <w:tcPr>
            <w:tcW w:w="740" w:type="dxa"/>
            <w:shd w:val="clear" w:color="auto" w:fill="auto"/>
            <w:noWrap/>
            <w:vAlign w:val="center"/>
          </w:tcPr>
          <w:p w14:paraId="5E555AEB">
            <w:pPr>
              <w:widowControl/>
              <w:jc w:val="center"/>
              <w:rPr>
                <w:rFonts w:ascii="宋体" w:hAnsi="宋体" w:cs="宋体"/>
                <w:color w:val="000000"/>
                <w:kern w:val="0"/>
                <w:szCs w:val="21"/>
              </w:rPr>
            </w:pPr>
            <w:r>
              <w:rPr>
                <w:rFonts w:hint="eastAsia" w:ascii="宋体" w:hAnsi="宋体"/>
                <w:sz w:val="22"/>
                <w:szCs w:val="22"/>
              </w:rPr>
              <w:t>9</w:t>
            </w:r>
          </w:p>
        </w:tc>
        <w:tc>
          <w:tcPr>
            <w:tcW w:w="5678" w:type="dxa"/>
            <w:shd w:val="clear" w:color="auto" w:fill="auto"/>
            <w:noWrap/>
            <w:vAlign w:val="center"/>
          </w:tcPr>
          <w:p w14:paraId="5A3698E2">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根据供应商提供的售后服务方案(包括响应时间、到场时间和问题解决时长的情况、技术人员配置等)、售后服务承诺的可行性、完整性以及服务承诺落实的保障措施，维护期内外的后续技术支持和维护能力情况等综合评价。评分范围： 9分、8分、7分、6分、5分、4分、3分、2分、1分、0分。</w:t>
            </w:r>
          </w:p>
        </w:tc>
      </w:tr>
      <w:tr w14:paraId="1D7A7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35" w:type="dxa"/>
            <w:shd w:val="clear" w:color="auto" w:fill="auto"/>
            <w:noWrap/>
            <w:vAlign w:val="center"/>
          </w:tcPr>
          <w:p w14:paraId="14963075">
            <w:pPr>
              <w:widowControl/>
              <w:rPr>
                <w:rFonts w:ascii="宋体" w:hAnsi="宋体" w:cs="宋体"/>
                <w:color w:val="000000"/>
                <w:kern w:val="0"/>
                <w:szCs w:val="21"/>
              </w:rPr>
            </w:pPr>
            <w:r>
              <w:rPr>
                <w:rFonts w:hint="eastAsia" w:ascii="宋体" w:hAnsi="宋体" w:cs="宋体"/>
                <w:color w:val="000000"/>
                <w:kern w:val="0"/>
                <w:szCs w:val="21"/>
              </w:rPr>
              <w:t>9</w:t>
            </w:r>
          </w:p>
        </w:tc>
        <w:tc>
          <w:tcPr>
            <w:tcW w:w="1358" w:type="dxa"/>
            <w:shd w:val="clear" w:color="auto" w:fill="auto"/>
            <w:noWrap/>
            <w:vAlign w:val="center"/>
          </w:tcPr>
          <w:p w14:paraId="6D465C28">
            <w:pPr>
              <w:widowControl/>
              <w:rPr>
                <w:rFonts w:ascii="宋体" w:hAnsi="宋体" w:cs="宋体"/>
                <w:color w:val="000000"/>
                <w:kern w:val="0"/>
                <w:szCs w:val="21"/>
              </w:rPr>
            </w:pPr>
            <w:r>
              <w:rPr>
                <w:rFonts w:hint="eastAsia" w:ascii="宋体" w:hAnsi="宋体"/>
                <w:sz w:val="22"/>
                <w:szCs w:val="22"/>
              </w:rPr>
              <w:t>培训方案</w:t>
            </w:r>
          </w:p>
        </w:tc>
        <w:tc>
          <w:tcPr>
            <w:tcW w:w="740" w:type="dxa"/>
            <w:shd w:val="clear" w:color="auto" w:fill="auto"/>
            <w:noWrap/>
            <w:vAlign w:val="center"/>
          </w:tcPr>
          <w:p w14:paraId="35F39FCF">
            <w:pPr>
              <w:widowControl/>
              <w:jc w:val="center"/>
              <w:rPr>
                <w:rFonts w:ascii="宋体" w:hAnsi="宋体" w:cs="宋体"/>
                <w:color w:val="000000"/>
                <w:kern w:val="0"/>
                <w:szCs w:val="21"/>
              </w:rPr>
            </w:pPr>
            <w:r>
              <w:rPr>
                <w:rFonts w:ascii="宋体" w:hAnsi="宋体"/>
                <w:sz w:val="22"/>
                <w:szCs w:val="22"/>
              </w:rPr>
              <w:t>6</w:t>
            </w:r>
          </w:p>
        </w:tc>
        <w:tc>
          <w:tcPr>
            <w:tcW w:w="5678" w:type="dxa"/>
            <w:shd w:val="clear" w:color="auto" w:fill="auto"/>
            <w:noWrap/>
            <w:vAlign w:val="center"/>
          </w:tcPr>
          <w:p w14:paraId="1045E33E">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根据供应商提供针对本项目培训计划方案，提供系统使用指导，对系统使用人员进行指导培训工作是否科学、合理、有效等方面综合评价。</w:t>
            </w:r>
          </w:p>
          <w:p w14:paraId="6A3F6979">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评分范围： 6分、5分、4分、3分、2分、1分、0分。</w:t>
            </w:r>
          </w:p>
        </w:tc>
      </w:tr>
    </w:tbl>
    <w:p w14:paraId="29B60CCC">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444CBECD">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2</w:t>
      </w:r>
      <w:bookmarkStart w:id="6" w:name="_GoBack"/>
      <w:bookmarkEnd w:id="6"/>
      <w:r>
        <w:rPr>
          <w:rFonts w:hint="eastAsia" w:asciiTheme="majorEastAsia" w:hAnsiTheme="majorEastAsia" w:eastAsiaTheme="majorEastAsia" w:cstheme="majorEastAsia"/>
          <w:color w:val="auto"/>
          <w:sz w:val="24"/>
          <w:szCs w:val="24"/>
          <w:highlight w:val="none"/>
          <w:lang w:val="en-US" w:eastAsia="zh-CN"/>
        </w:rPr>
        <w:t>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0088ED51">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14:paraId="088C41BB">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3E6B8040">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4"/>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7"/>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2"/>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F29C1D"/>
    <w:multiLevelType w:val="singleLevel"/>
    <w:tmpl w:val="97F29C1D"/>
    <w:lvl w:ilvl="0" w:tentative="0">
      <w:start w:val="1"/>
      <w:numFmt w:val="decimal"/>
      <w:suff w:val="nothing"/>
      <w:lvlText w:val="%1、"/>
      <w:lvlJc w:val="left"/>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702D13"/>
    <w:rsid w:val="02AE55E9"/>
    <w:rsid w:val="03A32C74"/>
    <w:rsid w:val="03B81543"/>
    <w:rsid w:val="03BE5308"/>
    <w:rsid w:val="04137DFA"/>
    <w:rsid w:val="041E1407"/>
    <w:rsid w:val="043A5387"/>
    <w:rsid w:val="046805A7"/>
    <w:rsid w:val="046C7126"/>
    <w:rsid w:val="048177A5"/>
    <w:rsid w:val="05104339"/>
    <w:rsid w:val="05252DE6"/>
    <w:rsid w:val="054935FC"/>
    <w:rsid w:val="057D45C7"/>
    <w:rsid w:val="05B2719F"/>
    <w:rsid w:val="063437DC"/>
    <w:rsid w:val="063F15D1"/>
    <w:rsid w:val="0663284C"/>
    <w:rsid w:val="06770E4D"/>
    <w:rsid w:val="07F608F1"/>
    <w:rsid w:val="084367D4"/>
    <w:rsid w:val="08A43261"/>
    <w:rsid w:val="09181A0E"/>
    <w:rsid w:val="09682EB8"/>
    <w:rsid w:val="09701596"/>
    <w:rsid w:val="09EF276F"/>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D50C2"/>
    <w:rsid w:val="0E2B3F92"/>
    <w:rsid w:val="0FC6104D"/>
    <w:rsid w:val="102D3FF1"/>
    <w:rsid w:val="10F36FE9"/>
    <w:rsid w:val="110E0BAC"/>
    <w:rsid w:val="114C494B"/>
    <w:rsid w:val="11CB32F9"/>
    <w:rsid w:val="127B54E8"/>
    <w:rsid w:val="12B22195"/>
    <w:rsid w:val="131E40C5"/>
    <w:rsid w:val="13823917"/>
    <w:rsid w:val="13CA1F19"/>
    <w:rsid w:val="13DD44F2"/>
    <w:rsid w:val="144E2A5F"/>
    <w:rsid w:val="14E32ED1"/>
    <w:rsid w:val="16325C9C"/>
    <w:rsid w:val="166B13D0"/>
    <w:rsid w:val="16B234A2"/>
    <w:rsid w:val="173845ED"/>
    <w:rsid w:val="17FD24FB"/>
    <w:rsid w:val="182201B4"/>
    <w:rsid w:val="187B02C7"/>
    <w:rsid w:val="18F00A8A"/>
    <w:rsid w:val="196C08F1"/>
    <w:rsid w:val="1A2521DD"/>
    <w:rsid w:val="1A846F04"/>
    <w:rsid w:val="1A935399"/>
    <w:rsid w:val="1AAF0E80"/>
    <w:rsid w:val="1AC51655"/>
    <w:rsid w:val="1ADA6B24"/>
    <w:rsid w:val="1B676A58"/>
    <w:rsid w:val="1B6D2EC4"/>
    <w:rsid w:val="1B943177"/>
    <w:rsid w:val="1BCD3B84"/>
    <w:rsid w:val="1BD532AE"/>
    <w:rsid w:val="1C275729"/>
    <w:rsid w:val="1C8431EB"/>
    <w:rsid w:val="1CDE389D"/>
    <w:rsid w:val="1D525097"/>
    <w:rsid w:val="1DDC2BB3"/>
    <w:rsid w:val="1E05197A"/>
    <w:rsid w:val="1E960FB4"/>
    <w:rsid w:val="1EEA7AC6"/>
    <w:rsid w:val="1F090697"/>
    <w:rsid w:val="1F7B5265"/>
    <w:rsid w:val="1FD92A7D"/>
    <w:rsid w:val="20140D2A"/>
    <w:rsid w:val="203B6D03"/>
    <w:rsid w:val="206A26F8"/>
    <w:rsid w:val="20825C93"/>
    <w:rsid w:val="20AC4ABE"/>
    <w:rsid w:val="20BE4494"/>
    <w:rsid w:val="210B5C89"/>
    <w:rsid w:val="213056EF"/>
    <w:rsid w:val="214B19AF"/>
    <w:rsid w:val="219C2D85"/>
    <w:rsid w:val="21E30D42"/>
    <w:rsid w:val="22201238"/>
    <w:rsid w:val="22617B2B"/>
    <w:rsid w:val="226B2757"/>
    <w:rsid w:val="22C500B9"/>
    <w:rsid w:val="23696C97"/>
    <w:rsid w:val="23CB5BA3"/>
    <w:rsid w:val="23FA2DFB"/>
    <w:rsid w:val="242D0576"/>
    <w:rsid w:val="24BE3012"/>
    <w:rsid w:val="250003E1"/>
    <w:rsid w:val="250032EF"/>
    <w:rsid w:val="25396B3D"/>
    <w:rsid w:val="2601367E"/>
    <w:rsid w:val="260E1459"/>
    <w:rsid w:val="26647BE9"/>
    <w:rsid w:val="26CB1FFA"/>
    <w:rsid w:val="277327DA"/>
    <w:rsid w:val="278A02F5"/>
    <w:rsid w:val="27BA6FBE"/>
    <w:rsid w:val="282707F3"/>
    <w:rsid w:val="290B7C96"/>
    <w:rsid w:val="299E3412"/>
    <w:rsid w:val="29CC6E69"/>
    <w:rsid w:val="2A24600D"/>
    <w:rsid w:val="2A4B17EC"/>
    <w:rsid w:val="2A5A1159"/>
    <w:rsid w:val="2B0D5F6D"/>
    <w:rsid w:val="2B683928"/>
    <w:rsid w:val="2C025EDA"/>
    <w:rsid w:val="2C8402CC"/>
    <w:rsid w:val="2C9F3729"/>
    <w:rsid w:val="2CD25DAF"/>
    <w:rsid w:val="2D381852"/>
    <w:rsid w:val="2DDA4C9A"/>
    <w:rsid w:val="2DE55AB4"/>
    <w:rsid w:val="2DFA155F"/>
    <w:rsid w:val="2E0C3A22"/>
    <w:rsid w:val="2E0D1483"/>
    <w:rsid w:val="2E3D7EEF"/>
    <w:rsid w:val="2EBB4BEE"/>
    <w:rsid w:val="2FEF49C8"/>
    <w:rsid w:val="319C6045"/>
    <w:rsid w:val="31B41C0A"/>
    <w:rsid w:val="31D54EF7"/>
    <w:rsid w:val="31EB11BF"/>
    <w:rsid w:val="32351D06"/>
    <w:rsid w:val="324B2329"/>
    <w:rsid w:val="32A83B15"/>
    <w:rsid w:val="32E6579B"/>
    <w:rsid w:val="33395E7A"/>
    <w:rsid w:val="3345781A"/>
    <w:rsid w:val="33950813"/>
    <w:rsid w:val="33B91786"/>
    <w:rsid w:val="33D60378"/>
    <w:rsid w:val="33EA7980"/>
    <w:rsid w:val="356419B4"/>
    <w:rsid w:val="365A27C8"/>
    <w:rsid w:val="3694744F"/>
    <w:rsid w:val="37894282"/>
    <w:rsid w:val="378C2AA9"/>
    <w:rsid w:val="38C43CA9"/>
    <w:rsid w:val="39A6259B"/>
    <w:rsid w:val="3B781D15"/>
    <w:rsid w:val="3B9052B1"/>
    <w:rsid w:val="3BE55E13"/>
    <w:rsid w:val="3C4B3FC2"/>
    <w:rsid w:val="3C990FCB"/>
    <w:rsid w:val="3D7E46A8"/>
    <w:rsid w:val="3DF81D2A"/>
    <w:rsid w:val="3E1A70B4"/>
    <w:rsid w:val="3E4A79FC"/>
    <w:rsid w:val="3E5E1BF9"/>
    <w:rsid w:val="3E75078E"/>
    <w:rsid w:val="3ECF1148"/>
    <w:rsid w:val="3F1F65DD"/>
    <w:rsid w:val="3FB757CD"/>
    <w:rsid w:val="3FC54E0F"/>
    <w:rsid w:val="3FEE56D0"/>
    <w:rsid w:val="40034CE0"/>
    <w:rsid w:val="4045722C"/>
    <w:rsid w:val="40D7128C"/>
    <w:rsid w:val="41272213"/>
    <w:rsid w:val="413F4786"/>
    <w:rsid w:val="41DF2AEE"/>
    <w:rsid w:val="42162BD2"/>
    <w:rsid w:val="423A5616"/>
    <w:rsid w:val="42CE4911"/>
    <w:rsid w:val="42E12896"/>
    <w:rsid w:val="42E303BC"/>
    <w:rsid w:val="436B215F"/>
    <w:rsid w:val="43703F00"/>
    <w:rsid w:val="43F319C0"/>
    <w:rsid w:val="43F53D29"/>
    <w:rsid w:val="45B84D5C"/>
    <w:rsid w:val="46217054"/>
    <w:rsid w:val="46226C7C"/>
    <w:rsid w:val="46254F1A"/>
    <w:rsid w:val="47B02837"/>
    <w:rsid w:val="48485148"/>
    <w:rsid w:val="48A905A4"/>
    <w:rsid w:val="49044BE8"/>
    <w:rsid w:val="491D3EFC"/>
    <w:rsid w:val="498D2E30"/>
    <w:rsid w:val="49F45D1E"/>
    <w:rsid w:val="4A5C0AFE"/>
    <w:rsid w:val="4ACB490C"/>
    <w:rsid w:val="4B2D35EC"/>
    <w:rsid w:val="4B3F63AB"/>
    <w:rsid w:val="4B6173B9"/>
    <w:rsid w:val="4BA12BC2"/>
    <w:rsid w:val="4BF1634C"/>
    <w:rsid w:val="4C1A1186"/>
    <w:rsid w:val="4C7240D0"/>
    <w:rsid w:val="4C8C2F4B"/>
    <w:rsid w:val="4D4C6D24"/>
    <w:rsid w:val="4D8412CA"/>
    <w:rsid w:val="4DD17574"/>
    <w:rsid w:val="4E50411F"/>
    <w:rsid w:val="4E53118F"/>
    <w:rsid w:val="4E535E94"/>
    <w:rsid w:val="4EBC7D13"/>
    <w:rsid w:val="4ED67027"/>
    <w:rsid w:val="4F156EDC"/>
    <w:rsid w:val="4FA17CA6"/>
    <w:rsid w:val="4FEB04D1"/>
    <w:rsid w:val="4FED432F"/>
    <w:rsid w:val="50760AC1"/>
    <w:rsid w:val="510032E3"/>
    <w:rsid w:val="514840EF"/>
    <w:rsid w:val="51B21297"/>
    <w:rsid w:val="51E97071"/>
    <w:rsid w:val="524547A9"/>
    <w:rsid w:val="525613B6"/>
    <w:rsid w:val="52741FD4"/>
    <w:rsid w:val="52B43B6C"/>
    <w:rsid w:val="54ED444E"/>
    <w:rsid w:val="55961CE5"/>
    <w:rsid w:val="56B72E79"/>
    <w:rsid w:val="57DF67F9"/>
    <w:rsid w:val="582C415B"/>
    <w:rsid w:val="585039A6"/>
    <w:rsid w:val="58F702C5"/>
    <w:rsid w:val="58FD5F53"/>
    <w:rsid w:val="59D74F82"/>
    <w:rsid w:val="5A807902"/>
    <w:rsid w:val="5B044F1C"/>
    <w:rsid w:val="5B235531"/>
    <w:rsid w:val="5BB300C0"/>
    <w:rsid w:val="5C1E200D"/>
    <w:rsid w:val="5C3F2F33"/>
    <w:rsid w:val="5C7E30BB"/>
    <w:rsid w:val="5C7E5810"/>
    <w:rsid w:val="5CA54D24"/>
    <w:rsid w:val="5CE70651"/>
    <w:rsid w:val="5D5B41FF"/>
    <w:rsid w:val="5D7F0889"/>
    <w:rsid w:val="5D944335"/>
    <w:rsid w:val="5DBF01BE"/>
    <w:rsid w:val="5DEE5043"/>
    <w:rsid w:val="5E117222"/>
    <w:rsid w:val="5E4775F9"/>
    <w:rsid w:val="5E5674C7"/>
    <w:rsid w:val="5EA17159"/>
    <w:rsid w:val="5EEB267A"/>
    <w:rsid w:val="5F8748DA"/>
    <w:rsid w:val="5FDE1234"/>
    <w:rsid w:val="60C21E5F"/>
    <w:rsid w:val="61E6537B"/>
    <w:rsid w:val="621E2D67"/>
    <w:rsid w:val="62AA45FB"/>
    <w:rsid w:val="63604C33"/>
    <w:rsid w:val="63653CAD"/>
    <w:rsid w:val="63F7532D"/>
    <w:rsid w:val="643407A7"/>
    <w:rsid w:val="647B1A55"/>
    <w:rsid w:val="65561E5B"/>
    <w:rsid w:val="6573295C"/>
    <w:rsid w:val="6582360D"/>
    <w:rsid w:val="65931DA1"/>
    <w:rsid w:val="65B5026D"/>
    <w:rsid w:val="65C14135"/>
    <w:rsid w:val="65D17642"/>
    <w:rsid w:val="661701F9"/>
    <w:rsid w:val="66292968"/>
    <w:rsid w:val="667761EE"/>
    <w:rsid w:val="669D6869"/>
    <w:rsid w:val="66EB7B2A"/>
    <w:rsid w:val="67201A8D"/>
    <w:rsid w:val="673E0C66"/>
    <w:rsid w:val="675170DC"/>
    <w:rsid w:val="675F33B7"/>
    <w:rsid w:val="68103152"/>
    <w:rsid w:val="69643755"/>
    <w:rsid w:val="69DC26B1"/>
    <w:rsid w:val="6A184540"/>
    <w:rsid w:val="6A2151A2"/>
    <w:rsid w:val="6AF74490"/>
    <w:rsid w:val="6B144E28"/>
    <w:rsid w:val="6C6D4A58"/>
    <w:rsid w:val="6D154D66"/>
    <w:rsid w:val="6D905053"/>
    <w:rsid w:val="6DD469CF"/>
    <w:rsid w:val="6E542593"/>
    <w:rsid w:val="6E573888"/>
    <w:rsid w:val="6ECD3B4B"/>
    <w:rsid w:val="6ED8429D"/>
    <w:rsid w:val="6F556684"/>
    <w:rsid w:val="70134ABB"/>
    <w:rsid w:val="70377E36"/>
    <w:rsid w:val="70B3479D"/>
    <w:rsid w:val="70F75741"/>
    <w:rsid w:val="712029B9"/>
    <w:rsid w:val="7174432C"/>
    <w:rsid w:val="728C5ACB"/>
    <w:rsid w:val="7298621E"/>
    <w:rsid w:val="72B76A57"/>
    <w:rsid w:val="73565C82"/>
    <w:rsid w:val="73D9089C"/>
    <w:rsid w:val="745B5217"/>
    <w:rsid w:val="747B2D8F"/>
    <w:rsid w:val="74C01E69"/>
    <w:rsid w:val="74D067FF"/>
    <w:rsid w:val="74D64461"/>
    <w:rsid w:val="755C628B"/>
    <w:rsid w:val="755E58D5"/>
    <w:rsid w:val="75995B4F"/>
    <w:rsid w:val="76036494"/>
    <w:rsid w:val="761360D7"/>
    <w:rsid w:val="76312C11"/>
    <w:rsid w:val="76992E80"/>
    <w:rsid w:val="76DE455C"/>
    <w:rsid w:val="77D00208"/>
    <w:rsid w:val="77D5581E"/>
    <w:rsid w:val="77D9530E"/>
    <w:rsid w:val="77F03ED5"/>
    <w:rsid w:val="78A44248"/>
    <w:rsid w:val="78C935D5"/>
    <w:rsid w:val="78C95383"/>
    <w:rsid w:val="794E57F6"/>
    <w:rsid w:val="79BF70EF"/>
    <w:rsid w:val="7A195E96"/>
    <w:rsid w:val="7A434CC1"/>
    <w:rsid w:val="7A9A058E"/>
    <w:rsid w:val="7ADB139D"/>
    <w:rsid w:val="7B68601A"/>
    <w:rsid w:val="7B713AB0"/>
    <w:rsid w:val="7BE349AD"/>
    <w:rsid w:val="7C38637B"/>
    <w:rsid w:val="7C4C159F"/>
    <w:rsid w:val="7C857813"/>
    <w:rsid w:val="7CC935D6"/>
    <w:rsid w:val="7DE25B31"/>
    <w:rsid w:val="7E1F77F3"/>
    <w:rsid w:val="7E9D2BEE"/>
    <w:rsid w:val="7F361298"/>
    <w:rsid w:val="7F4E65E2"/>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next w:val="10"/>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toc 2"/>
    <w:basedOn w:val="1"/>
    <w:next w:val="1"/>
    <w:qFormat/>
    <w:uiPriority w:val="0"/>
    <w:pPr>
      <w:ind w:left="200" w:leftChars="200"/>
    </w:pPr>
  </w:style>
  <w:style w:type="paragraph" w:styleId="11">
    <w:name w:val="Date"/>
    <w:basedOn w:val="1"/>
    <w:next w:val="1"/>
    <w:qFormat/>
    <w:uiPriority w:val="0"/>
    <w:pPr>
      <w:ind w:left="100" w:leftChars="2500"/>
    </w:pPr>
  </w:style>
  <w:style w:type="paragraph" w:styleId="12">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3">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4">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5">
    <w:name w:val="Body Text First Indent"/>
    <w:basedOn w:val="6"/>
    <w:qFormat/>
    <w:uiPriority w:val="0"/>
    <w:pPr>
      <w:ind w:firstLine="420" w:firstLineChars="100"/>
    </w:pPr>
    <w:rPr>
      <w:b/>
      <w:bCs/>
      <w:szCs w:val="24"/>
    </w:rPr>
  </w:style>
  <w:style w:type="paragraph" w:styleId="16">
    <w:name w:val="Body Text First Indent 2"/>
    <w:basedOn w:val="7"/>
    <w:qFormat/>
    <w:uiPriority w:val="0"/>
    <w:pPr>
      <w:spacing w:after="120"/>
      <w:ind w:left="420" w:leftChars="200" w:firstLine="420"/>
    </w:pPr>
    <w:rPr>
      <w:rFonts w:cs="宋体"/>
      <w:sz w:val="21"/>
      <w:szCs w:val="21"/>
    </w:rPr>
  </w:style>
  <w:style w:type="table" w:styleId="18">
    <w:name w:val="Table Grid"/>
    <w:basedOn w:val="17"/>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paragraph" w:customStyle="1" w:styleId="21">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2">
    <w:name w:val="标题 1 字符"/>
    <w:link w:val="2"/>
    <w:qFormat/>
    <w:uiPriority w:val="0"/>
    <w:rPr>
      <w:rFonts w:eastAsia="黑体"/>
      <w:b/>
      <w:sz w:val="32"/>
      <w:szCs w:val="20"/>
    </w:rPr>
  </w:style>
  <w:style w:type="paragraph" w:styleId="23">
    <w:name w:val="List Paragraph"/>
    <w:basedOn w:val="1"/>
    <w:qFormat/>
    <w:uiPriority w:val="0"/>
    <w:pPr>
      <w:ind w:firstLine="420" w:firstLineChars="200"/>
    </w:pPr>
    <w:rPr>
      <w:rFonts w:ascii="Calibri" w:hAnsi="Calibri"/>
      <w:szCs w:val="22"/>
    </w:rPr>
  </w:style>
  <w:style w:type="paragraph" w:customStyle="1" w:styleId="24">
    <w:name w:val="保留正文"/>
    <w:basedOn w:val="6"/>
    <w:qFormat/>
    <w:uiPriority w:val="0"/>
  </w:style>
  <w:style w:type="table" w:customStyle="1" w:styleId="25">
    <w:name w:val="Table Normal"/>
    <w:unhideWhenUsed/>
    <w:qFormat/>
    <w:uiPriority w:val="0"/>
    <w:tblPr>
      <w:tblCellMar>
        <w:top w:w="0" w:type="dxa"/>
        <w:left w:w="0" w:type="dxa"/>
        <w:bottom w:w="0" w:type="dxa"/>
        <w:right w:w="0" w:type="dxa"/>
      </w:tblCellMar>
    </w:tblPr>
  </w:style>
  <w:style w:type="paragraph" w:customStyle="1" w:styleId="26">
    <w:name w:val="Table Text"/>
    <w:basedOn w:val="1"/>
    <w:semiHidden/>
    <w:qFormat/>
    <w:uiPriority w:val="0"/>
    <w:rPr>
      <w:rFonts w:ascii="宋体" w:hAnsi="宋体" w:eastAsia="宋体" w:cs="宋体"/>
      <w:sz w:val="21"/>
      <w:szCs w:val="21"/>
      <w:lang w:val="en-US" w:eastAsia="en-US" w:bidi="ar-SA"/>
    </w:rPr>
  </w:style>
  <w:style w:type="paragraph" w:customStyle="1" w:styleId="27">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8">
    <w:name w:val="列出段落1"/>
    <w:basedOn w:val="1"/>
    <w:qFormat/>
    <w:uiPriority w:val="0"/>
    <w:pPr>
      <w:ind w:firstLine="420" w:firstLineChars="200"/>
    </w:pPr>
    <w:rPr>
      <w:szCs w:val="21"/>
    </w:rPr>
  </w:style>
  <w:style w:type="paragraph" w:customStyle="1" w:styleId="29">
    <w:name w:val="_Style 101"/>
    <w:basedOn w:val="7"/>
    <w:next w:val="16"/>
    <w:autoRedefine/>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5424</Words>
  <Characters>5748</Characters>
  <Lines>0</Lines>
  <Paragraphs>0</Paragraphs>
  <TotalTime>5</TotalTime>
  <ScaleCrop>false</ScaleCrop>
  <LinksUpToDate>false</LinksUpToDate>
  <CharactersWithSpaces>6506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2024-11-26T07:09:41Z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