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val="en-US" w:eastAsia="zh-CN"/>
        </w:rPr>
      </w:pPr>
      <w:r>
        <w:rPr>
          <w:rFonts w:hint="eastAsia" w:ascii="宋体" w:hAnsi="宋体" w:eastAsia="宋体" w:cs="宋体"/>
          <w:b/>
          <w:bCs/>
          <w:spacing w:val="40"/>
          <w:sz w:val="32"/>
          <w:szCs w:val="32"/>
          <w:highlight w:val="none"/>
        </w:rPr>
        <w:t>项目名称：</w:t>
      </w:r>
      <w:bookmarkStart w:id="0" w:name="OLE_LINK1"/>
      <w:r>
        <w:rPr>
          <w:rFonts w:hint="eastAsia" w:ascii="宋体" w:hAnsi="宋体" w:eastAsia="宋体" w:cs="宋体"/>
          <w:b/>
          <w:bCs/>
          <w:spacing w:val="40"/>
          <w:sz w:val="32"/>
          <w:szCs w:val="32"/>
          <w:highlight w:val="none"/>
        </w:rPr>
        <w:t>资产及临时人员保险</w:t>
      </w:r>
      <w:r>
        <w:rPr>
          <w:rFonts w:hint="eastAsia" w:ascii="宋体" w:hAnsi="宋体" w:cs="宋体"/>
          <w:b/>
          <w:bCs/>
          <w:spacing w:val="40"/>
          <w:sz w:val="32"/>
          <w:szCs w:val="32"/>
          <w:highlight w:val="none"/>
          <w:lang w:eastAsia="zh-CN"/>
        </w:rPr>
        <w:t>采购项目</w:t>
      </w:r>
    </w:p>
    <w:bookmarkEnd w:id="0"/>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十二</w:t>
      </w:r>
      <w:r>
        <w:rPr>
          <w:rFonts w:hint="eastAsia" w:ascii="新宋体" w:hAnsi="新宋体" w:eastAsia="新宋体"/>
          <w:b/>
          <w:bCs/>
          <w:spacing w:val="40"/>
          <w:sz w:val="32"/>
          <w:szCs w:val="28"/>
          <w:highlight w:val="none"/>
        </w:rPr>
        <w:t>月</w:t>
      </w:r>
    </w:p>
    <w:p w14:paraId="05821D1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51B1B317">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lang w:val="en-US" w:eastAsia="zh-CN"/>
        </w:rPr>
      </w:pPr>
    </w:p>
    <w:p w14:paraId="4DB5B5CD">
      <w:pPr>
        <w:pStyle w:val="2"/>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资产及临时人员保险采购项目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资产及临时人员保险采购项目    </w:t>
      </w:r>
    </w:p>
    <w:p w14:paraId="56294008">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80000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19"/>
          <w:rFonts w:hint="eastAsia" w:ascii="宋体" w:hAnsi="宋体" w:eastAsia="宋体" w:cs="宋体"/>
          <w:color w:val="000000"/>
          <w:sz w:val="24"/>
          <w:szCs w:val="24"/>
          <w:highlight w:val="none"/>
          <w:shd w:val="clear" w:color="auto" w:fill="FFFFFF"/>
        </w:rPr>
      </w:pPr>
      <w:r>
        <w:rPr>
          <w:rStyle w:val="19"/>
          <w:rFonts w:hint="eastAsia" w:ascii="宋体" w:hAnsi="宋体" w:eastAsia="宋体" w:cs="宋体"/>
          <w:color w:val="000000"/>
          <w:sz w:val="24"/>
          <w:szCs w:val="24"/>
          <w:highlight w:val="none"/>
          <w:shd w:val="clear" w:color="auto" w:fill="FFFFFF"/>
        </w:rPr>
        <w:t>投标人报价不得超过</w:t>
      </w:r>
      <w:r>
        <w:rPr>
          <w:rStyle w:val="19"/>
          <w:rFonts w:hint="eastAsia" w:ascii="宋体" w:hAnsi="宋体" w:eastAsia="宋体" w:cs="宋体"/>
          <w:color w:val="000000"/>
          <w:sz w:val="24"/>
          <w:szCs w:val="24"/>
          <w:highlight w:val="none"/>
          <w:shd w:val="clear" w:color="auto" w:fill="FFFFFF"/>
          <w:lang w:eastAsia="zh-CN"/>
        </w:rPr>
        <w:t>最高限价</w:t>
      </w:r>
      <w:r>
        <w:rPr>
          <w:rStyle w:val="19"/>
          <w:rFonts w:hint="eastAsia" w:ascii="宋体" w:hAnsi="宋体" w:eastAsia="宋体" w:cs="宋体"/>
          <w:color w:val="000000"/>
          <w:sz w:val="24"/>
          <w:szCs w:val="24"/>
          <w:highlight w:val="none"/>
          <w:shd w:val="clear" w:color="auto" w:fill="FFFFFF"/>
        </w:rPr>
        <w:t>金额，否则当无效标处理。</w:t>
      </w:r>
    </w:p>
    <w:p w14:paraId="4E89FF6D">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28</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12</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7D03B432">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bookmarkStart w:id="7" w:name="_GoBack"/>
      <w:bookmarkEnd w:id="7"/>
      <w:r>
        <w:rPr>
          <w:rFonts w:hint="eastAsia" w:ascii="宋体" w:hAnsi="宋体" w:eastAsia="宋体" w:cs="宋体"/>
          <w:color w:val="000000"/>
          <w:sz w:val="24"/>
          <w:szCs w:val="24"/>
          <w:highlight w:val="none"/>
        </w:rPr>
        <w:t>号会议室</w:t>
      </w:r>
    </w:p>
    <w:p w14:paraId="736BD23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19"/>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28</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3"/>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3"/>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4"/>
          <w:szCs w:val="24"/>
          <w:highlight w:val="none"/>
        </w:rPr>
      </w:pPr>
      <w:r>
        <w:rPr>
          <w:rFonts w:hint="eastAsia"/>
          <w:b/>
          <w:bCs/>
          <w:sz w:val="24"/>
          <w:szCs w:val="24"/>
          <w:highlight w:val="none"/>
          <w:lang w:eastAsia="zh-CN"/>
        </w:rPr>
        <w:t>招标内容</w:t>
      </w:r>
    </w:p>
    <w:p w14:paraId="3AB9D84C">
      <w:pPr>
        <w:numPr>
          <w:ilvl w:val="0"/>
          <w:numId w:val="0"/>
        </w:numPr>
        <w:spacing w:line="360" w:lineRule="auto"/>
        <w:rPr>
          <w:rFonts w:ascii="宋体" w:hAnsi="宋体"/>
          <w:sz w:val="24"/>
          <w:szCs w:val="24"/>
          <w:highlight w:val="none"/>
        </w:rPr>
      </w:pPr>
      <w:r>
        <w:rPr>
          <w:rFonts w:hint="eastAsia" w:ascii="宋体" w:hAnsi="宋体"/>
          <w:sz w:val="24"/>
          <w:szCs w:val="24"/>
          <w:highlight w:val="none"/>
        </w:rPr>
        <w:t>（一）招标单位：温州市第七人民医院</w:t>
      </w:r>
    </w:p>
    <w:p w14:paraId="015D1ABF">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（二）项目名称：</w:t>
      </w:r>
      <w:r>
        <w:rPr>
          <w:rFonts w:hint="eastAsia" w:ascii="宋体" w:hAnsi="宋体"/>
          <w:sz w:val="24"/>
          <w:szCs w:val="24"/>
          <w:highlight w:val="none"/>
          <w:lang w:val="en-US" w:eastAsia="zh-CN"/>
        </w:rPr>
        <w:t>资产及临时人员保险采购项目</w:t>
      </w:r>
    </w:p>
    <w:p w14:paraId="341FDFD5">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（三）预算金额：</w:t>
      </w:r>
      <w:r>
        <w:rPr>
          <w:rFonts w:hint="eastAsia" w:ascii="宋体" w:hAnsi="宋体"/>
          <w:sz w:val="24"/>
          <w:szCs w:val="24"/>
          <w:highlight w:val="none"/>
          <w:lang w:val="en-US" w:eastAsia="zh-CN"/>
        </w:rPr>
        <w:t>80000</w:t>
      </w:r>
      <w:r>
        <w:rPr>
          <w:rFonts w:hint="eastAsia" w:ascii="宋体" w:hAnsi="宋体"/>
          <w:sz w:val="24"/>
          <w:szCs w:val="24"/>
          <w:highlight w:val="none"/>
        </w:rPr>
        <w:t>元</w:t>
      </w:r>
    </w:p>
    <w:p w14:paraId="4E5BDE16">
      <w:pPr>
        <w:numPr>
          <w:ilvl w:val="0"/>
          <w:numId w:val="0"/>
        </w:numPr>
        <w:spacing w:line="360" w:lineRule="auto"/>
        <w:rPr>
          <w:rFonts w:hint="eastAsia" w:ascii="宋体" w:hAnsi="宋体" w:cs="Times New Roman"/>
          <w:sz w:val="24"/>
          <w:szCs w:val="24"/>
          <w:highlight w:val="none"/>
          <w:lang w:val="en-US" w:eastAsia="zh-CN"/>
        </w:rPr>
      </w:pPr>
      <w:r>
        <w:rPr>
          <w:rFonts w:hint="eastAsia" w:ascii="宋体" w:hAnsi="宋体" w:eastAsia="宋体" w:cs="Times New Roman"/>
          <w:sz w:val="24"/>
          <w:szCs w:val="24"/>
          <w:highlight w:val="none"/>
          <w:lang w:eastAsia="zh-CN"/>
        </w:rPr>
        <w:t>（四）项目概况：我院本年资产及临床人员</w:t>
      </w:r>
      <w:r>
        <w:rPr>
          <w:rFonts w:hint="eastAsia" w:ascii="宋体" w:hAnsi="宋体" w:cs="Times New Roman"/>
          <w:sz w:val="24"/>
          <w:szCs w:val="24"/>
          <w:highlight w:val="none"/>
          <w:lang w:eastAsia="zh-CN"/>
        </w:rPr>
        <w:t>保险即将</w:t>
      </w:r>
      <w:r>
        <w:rPr>
          <w:rFonts w:hint="eastAsia" w:ascii="宋体" w:hAnsi="宋体" w:eastAsia="宋体" w:cs="Times New Roman"/>
          <w:sz w:val="24"/>
          <w:szCs w:val="24"/>
          <w:highlight w:val="none"/>
          <w:lang w:eastAsia="zh-CN"/>
        </w:rPr>
        <w:t>到期，现需采购下一年度</w:t>
      </w:r>
      <w:r>
        <w:rPr>
          <w:rFonts w:hint="eastAsia" w:ascii="宋体" w:hAnsi="宋体" w:cs="Times New Roman"/>
          <w:sz w:val="24"/>
          <w:szCs w:val="24"/>
          <w:highlight w:val="none"/>
          <w:lang w:eastAsia="zh-CN"/>
        </w:rPr>
        <w:t>的产保险综合险和团体人身意外伤害保险。其中，财产保险综合险，</w:t>
      </w:r>
      <w:r>
        <w:rPr>
          <w:rFonts w:hint="eastAsia" w:ascii="宋体" w:hAnsi="宋体" w:eastAsia="宋体" w:cs="Times New Roman"/>
          <w:sz w:val="24"/>
          <w:szCs w:val="24"/>
          <w:highlight w:val="none"/>
          <w:lang w:eastAsia="zh-CN"/>
        </w:rPr>
        <w:t>根据9月底资产净额23968185.68（不含房产）</w:t>
      </w:r>
      <w:r>
        <w:rPr>
          <w:rFonts w:hint="eastAsia" w:ascii="宋体" w:hAnsi="宋体" w:cs="Times New Roman"/>
          <w:sz w:val="24"/>
          <w:szCs w:val="24"/>
          <w:highlight w:val="none"/>
          <w:lang w:eastAsia="zh-CN"/>
        </w:rPr>
        <w:t>，费率不超过</w:t>
      </w:r>
      <w:r>
        <w:rPr>
          <w:rFonts w:hint="eastAsia" w:ascii="宋体" w:hAnsi="宋体" w:cs="Times New Roman"/>
          <w:sz w:val="24"/>
          <w:szCs w:val="24"/>
          <w:highlight w:val="none"/>
          <w:lang w:val="en-US" w:eastAsia="zh-CN"/>
        </w:rPr>
        <w:t>1.1‰</w:t>
      </w:r>
      <w:r>
        <w:rPr>
          <w:rFonts w:hint="eastAsia" w:ascii="宋体" w:hAnsi="宋体" w:cs="Times New Roman"/>
          <w:sz w:val="24"/>
          <w:szCs w:val="24"/>
          <w:highlight w:val="none"/>
          <w:lang w:eastAsia="zh-CN"/>
        </w:rPr>
        <w:t>；团体人身意外伤害保险，参保</w:t>
      </w:r>
      <w:r>
        <w:rPr>
          <w:rFonts w:hint="eastAsia" w:ascii="宋体" w:hAnsi="宋体" w:eastAsia="宋体" w:cs="Times New Roman"/>
          <w:sz w:val="24"/>
          <w:szCs w:val="24"/>
          <w:highlight w:val="none"/>
          <w:lang w:eastAsia="zh-CN"/>
        </w:rPr>
        <w:t>人员人数401（含护工）</w:t>
      </w:r>
      <w:r>
        <w:rPr>
          <w:rFonts w:hint="eastAsia" w:ascii="宋体" w:hAnsi="宋体" w:cs="Times New Roman"/>
          <w:sz w:val="24"/>
          <w:szCs w:val="24"/>
          <w:highlight w:val="none"/>
          <w:lang w:eastAsia="zh-CN"/>
        </w:rPr>
        <w:t>，每个人单价不超过</w:t>
      </w:r>
      <w:r>
        <w:rPr>
          <w:rFonts w:hint="eastAsia" w:ascii="宋体" w:hAnsi="宋体" w:cs="Times New Roman"/>
          <w:sz w:val="24"/>
          <w:szCs w:val="24"/>
          <w:highlight w:val="none"/>
          <w:lang w:val="en-US" w:eastAsia="zh-CN"/>
        </w:rPr>
        <w:t>120元。</w:t>
      </w:r>
    </w:p>
    <w:p w14:paraId="76B0F872">
      <w:pPr>
        <w:numPr>
          <w:ilvl w:val="0"/>
          <w:numId w:val="0"/>
        </w:numPr>
        <w:spacing w:line="360" w:lineRule="auto"/>
        <w:ind w:firstLine="723" w:firstLineChars="300"/>
        <w:rPr>
          <w:rFonts w:hint="default"/>
          <w:b/>
          <w:bCs/>
          <w:lang w:val="en-US" w:eastAsia="zh-CN"/>
        </w:rPr>
      </w:pPr>
      <w:r>
        <w:rPr>
          <w:rFonts w:hint="eastAsia" w:ascii="宋体" w:hAnsi="宋体" w:cs="Times New Roman"/>
          <w:b/>
          <w:bCs/>
          <w:sz w:val="24"/>
          <w:szCs w:val="24"/>
          <w:highlight w:val="none"/>
          <w:lang w:val="en-US" w:eastAsia="zh-CN"/>
        </w:rPr>
        <w:t>团体人身意外伤害保险投保数量以实际结束为准</w:t>
      </w:r>
      <w:r>
        <w:rPr>
          <w:rFonts w:hint="eastAsia" w:ascii="宋体" w:hAnsi="宋体" w:cs="Times New Roman"/>
          <w:sz w:val="24"/>
          <w:szCs w:val="24"/>
          <w:highlight w:val="none"/>
          <w:lang w:eastAsia="zh-CN"/>
        </w:rPr>
        <w:t>，</w:t>
      </w:r>
      <w:r>
        <w:rPr>
          <w:rFonts w:hint="eastAsia" w:ascii="宋体" w:hAnsi="宋体" w:cs="Times New Roman"/>
          <w:b/>
          <w:bCs/>
          <w:sz w:val="24"/>
          <w:szCs w:val="24"/>
          <w:highlight w:val="none"/>
          <w:lang w:val="en-US" w:eastAsia="zh-CN"/>
        </w:rPr>
        <w:t>总价不得超过预算金额。</w:t>
      </w:r>
    </w:p>
    <w:p w14:paraId="0E2364A1">
      <w:pPr>
        <w:pStyle w:val="26"/>
        <w:spacing w:line="360" w:lineRule="auto"/>
        <w:ind w:left="0" w:leftChars="0" w:firstLine="0" w:firstLineChars="0"/>
        <w:rPr>
          <w:rFonts w:hint="eastAsia" w:asciiTheme="majorEastAsia" w:hAnsiTheme="majorEastAsia" w:eastAsiaTheme="majorEastAsia" w:cstheme="majorEastAsia"/>
          <w:bCs/>
          <w:sz w:val="24"/>
          <w:szCs w:val="24"/>
          <w:highlight w:val="none"/>
        </w:rPr>
      </w:pPr>
    </w:p>
    <w:p w14:paraId="404CD7BF">
      <w:pPr>
        <w:spacing w:line="360" w:lineRule="auto"/>
        <w:rPr>
          <w:rFonts w:hint="eastAsia" w:asciiTheme="majorEastAsia" w:hAnsiTheme="majorEastAsia" w:eastAsiaTheme="majorEastAsia" w:cstheme="majorEastAsia"/>
          <w:b/>
          <w:sz w:val="24"/>
          <w:szCs w:val="24"/>
          <w:highlight w:val="none"/>
          <w:lang w:val="en-US" w:eastAsia="zh-CN"/>
        </w:rPr>
      </w:pPr>
      <w:r>
        <w:rPr>
          <w:rFonts w:hint="eastAsia" w:asciiTheme="majorEastAsia" w:hAnsiTheme="majorEastAsia" w:eastAsiaTheme="majorEastAsia" w:cstheme="majorEastAsia"/>
          <w:b/>
          <w:sz w:val="24"/>
          <w:szCs w:val="24"/>
          <w:highlight w:val="none"/>
          <w:lang w:val="en-US" w:eastAsia="zh-CN"/>
        </w:rPr>
        <w:t>三、投标文件组成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6"/>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6"/>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5"/>
        <w:rPr>
          <w:rFonts w:hint="eastAsia" w:ascii="新宋体" w:hAnsi="新宋体" w:eastAsia="新宋体" w:cs="宋体"/>
          <w:b/>
          <w:bCs/>
          <w:kern w:val="0"/>
          <w:sz w:val="32"/>
          <w:szCs w:val="32"/>
          <w:highlight w:val="none"/>
          <w:lang w:val="en-US" w:eastAsia="zh-CN" w:bidi="ar-SA"/>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3"/>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1" w:name="_Toc67"/>
      <w:bookmarkStart w:id="2"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1"/>
      <w:bookmarkEnd w:id="2"/>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3" w:name="_Toc11306"/>
      <w:bookmarkStart w:id="4" w:name="_Toc24825"/>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3"/>
      <w:bookmarkEnd w:id="4"/>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5" w:name="_Toc1535"/>
      <w:bookmarkStart w:id="6"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5"/>
      <w:bookmarkEnd w:id="6"/>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p w14:paraId="297D94E3">
      <w:pPr>
        <w:bidi w:val="0"/>
        <w:spacing w:line="360" w:lineRule="auto"/>
        <w:rPr>
          <w:rFonts w:hint="eastAsia" w:asciiTheme="majorEastAsia" w:hAnsiTheme="majorEastAsia" w:eastAsiaTheme="majorEastAsia" w:cstheme="majorEastAsia"/>
          <w:color w:val="auto"/>
          <w:sz w:val="24"/>
          <w:szCs w:val="24"/>
          <w:highlight w:val="none"/>
        </w:rPr>
      </w:pPr>
    </w:p>
    <w:p w14:paraId="7B6DBE69">
      <w:pPr>
        <w:bidi w:val="0"/>
        <w:spacing w:line="360" w:lineRule="auto"/>
        <w:rPr>
          <w:rFonts w:hint="eastAsia" w:asciiTheme="majorEastAsia" w:hAnsiTheme="majorEastAsia" w:eastAsiaTheme="majorEastAsia" w:cstheme="majorEastAsia"/>
          <w:color w:val="auto"/>
          <w:sz w:val="24"/>
          <w:szCs w:val="24"/>
          <w:highlight w:val="none"/>
        </w:rPr>
      </w:pPr>
    </w:p>
    <w:p w14:paraId="41F1F120">
      <w:pPr>
        <w:bidi w:val="0"/>
        <w:spacing w:line="360" w:lineRule="auto"/>
        <w:rPr>
          <w:rFonts w:hint="eastAsia" w:asciiTheme="majorEastAsia" w:hAnsiTheme="majorEastAsia" w:eastAsiaTheme="majorEastAsia" w:cstheme="majorEastAsia"/>
          <w:color w:val="auto"/>
          <w:sz w:val="24"/>
          <w:szCs w:val="24"/>
          <w:highlight w:val="none"/>
        </w:rPr>
      </w:pPr>
    </w:p>
    <w:p w14:paraId="4B1B8BB9">
      <w:pPr>
        <w:bidi w:val="0"/>
        <w:spacing w:line="360" w:lineRule="auto"/>
        <w:rPr>
          <w:rFonts w:hint="eastAsia" w:asciiTheme="majorEastAsia" w:hAnsiTheme="majorEastAsia" w:eastAsiaTheme="majorEastAsia" w:cstheme="majorEastAsia"/>
          <w:color w:val="auto"/>
          <w:sz w:val="24"/>
          <w:szCs w:val="24"/>
          <w:highlight w:val="none"/>
        </w:rPr>
      </w:pPr>
    </w:p>
    <w:p w14:paraId="58D14524">
      <w:pPr>
        <w:bidi w:val="0"/>
        <w:spacing w:line="360" w:lineRule="auto"/>
        <w:rPr>
          <w:rFonts w:hint="eastAsia" w:asciiTheme="majorEastAsia" w:hAnsiTheme="majorEastAsia" w:eastAsiaTheme="majorEastAsia" w:cstheme="majorEastAsia"/>
          <w:color w:val="auto"/>
          <w:sz w:val="24"/>
          <w:szCs w:val="24"/>
          <w:highlight w:val="none"/>
        </w:rPr>
      </w:pPr>
    </w:p>
    <w:p w14:paraId="1F88D20F">
      <w:pPr>
        <w:bidi w:val="0"/>
        <w:spacing w:line="360" w:lineRule="auto"/>
        <w:rPr>
          <w:rFonts w:hint="eastAsia" w:asciiTheme="majorEastAsia" w:hAnsiTheme="majorEastAsia" w:eastAsiaTheme="majorEastAsia" w:cstheme="majorEastAsia"/>
          <w:color w:val="auto"/>
          <w:sz w:val="24"/>
          <w:szCs w:val="24"/>
          <w:highlight w:val="none"/>
        </w:rPr>
      </w:pPr>
    </w:p>
    <w:tbl>
      <w:tblPr>
        <w:tblStyle w:val="16"/>
        <w:tblW w:w="99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8"/>
        <w:gridCol w:w="3326"/>
        <w:gridCol w:w="5051"/>
        <w:gridCol w:w="783"/>
      </w:tblGrid>
      <w:tr w14:paraId="19393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C77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A7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B0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评分细则</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59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分值</w:t>
            </w:r>
          </w:p>
        </w:tc>
      </w:tr>
      <w:tr w14:paraId="2DEC3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4"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6592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47B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综合偿付能力充足率</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72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按投标人 2021年1月1日起，三年综合偿付能力情况进行评分，每提供一年综合偿付能力&gt;200%，得3分;200%&gt;每一年综合偿付能力&gt;150%，得2分;150%&gt;每一年综合偿付能力&gt;100%，得1分，以审计报告为准，总分最高9分。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（须提供偿付能力报告。）</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0D9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w:t>
            </w:r>
          </w:p>
        </w:tc>
      </w:tr>
      <w:tr w14:paraId="54942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2"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A8EB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CD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信用评价</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E3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投标人所属上级公司(无上级公司的提供投标人自身)2022年保险公司法人机构经营评价结果，A级得6分，B级3分，C级1分。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注:提供中国保险行业协会关于2022年度保险公司法人机构经营评价结果扫描件加盖投标人公章。</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AAB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w:t>
            </w:r>
          </w:p>
        </w:tc>
      </w:tr>
      <w:tr w14:paraId="56FDD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2"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FF50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FDB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承担风险承诺</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EA3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本次投标供应商的上级机构承诺当投标供应商自身无能力支付赔偿金额时由其上级机构承担赔偿责任的得5分。(提供上级机构承诺文件复印件，否则不得分。)</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F49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14:paraId="24232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8"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10DC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D4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业绩情况</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F5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2021年1月1日以来至今(以合同签订时间为准)投标人承接过类似项目业绩，每提供一个合同得1分，本项最高得 5分。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注:提供合同复印件并加盖投标人公章，否则不得分。</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EE8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14:paraId="30209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5"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6BB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C9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理赔经验</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0DA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根据出险时间在2021年1月1日以来的赔案数量评分。具有本项目有关保险理赔金额5万元及以上理赔经验的，如为共保体，须为首席承保人。每提供一个得1分；最多得5分。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注：提供赔款案件的理赔计算书加盖公章</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97C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r>
      <w:tr w14:paraId="04DB7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BBCF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E55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服务总体方案</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2C6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根据投标人针对本项目服务总体方案的合理性、全面性、针对性等由评委横向比较酌情打分，优：10-8.7；良：8.7-7.4差：7.4-6。无此方案者不得分。</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AF6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0-10分</w:t>
            </w:r>
          </w:p>
        </w:tc>
      </w:tr>
      <w:tr w14:paraId="5232C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F1C7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8EC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项目风险分析认知</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F9A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根据投标人对本项目方面的风险认知水平和分析的详细程度，酌情计分，优：10-8.7；良：8.7-7.4差：7.4-6。无此方案者不得分。</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3E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0-10分</w:t>
            </w:r>
          </w:p>
        </w:tc>
      </w:tr>
      <w:tr w14:paraId="286AD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A4C7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7CC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防灾防损服务</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D73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根据投标人对本项目防灾防损方案完整性、科学性和可行性等评估优劣程度，酌情计分，优：10-8.7；良：8.7-7.4差：7.4-6。无此方案者不得分。</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9CA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0-10分</w:t>
            </w:r>
          </w:p>
        </w:tc>
      </w:tr>
      <w:tr w14:paraId="0B74C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4"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699F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5E5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理赔流程</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3BF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根据投标人针对本项目理赔流程是否合理由评委横向比较酌情打分，优：10-8.7；良：8.7-7.4差：7.4-6。无此方案者不得分。</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A08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0-10分</w:t>
            </w:r>
          </w:p>
        </w:tc>
      </w:tr>
      <w:tr w14:paraId="0DB64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8"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50C4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3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200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保险培训方案</w:t>
            </w:r>
          </w:p>
        </w:tc>
        <w:tc>
          <w:tcPr>
            <w:tcW w:w="5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2F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根据培训次数、培训对象、课程设置、培训形式、预期效果、授课专家、类似项目培训实例等综合评估优劣程度，酌情计分，优：10-8.7；良：8.7-7.4差：7.4-6。无此方案者不得分。</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8C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0-10分</w:t>
            </w:r>
          </w:p>
        </w:tc>
      </w:tr>
    </w:tbl>
    <w:p w14:paraId="44CDD70F">
      <w:pPr>
        <w:bidi w:val="0"/>
        <w:spacing w:line="360" w:lineRule="auto"/>
        <w:rPr>
          <w:rFonts w:hint="eastAsia" w:asciiTheme="majorEastAsia" w:hAnsiTheme="majorEastAsia" w:eastAsiaTheme="majorEastAsia" w:cstheme="majorEastAsia"/>
          <w:color w:val="auto"/>
          <w:sz w:val="24"/>
          <w:szCs w:val="24"/>
          <w:highlight w:val="none"/>
        </w:rPr>
      </w:pPr>
    </w:p>
    <w:p w14:paraId="182902CE">
      <w:pPr>
        <w:bidi w:val="0"/>
        <w:spacing w:line="360" w:lineRule="auto"/>
        <w:rPr>
          <w:rFonts w:hint="eastAsia" w:asciiTheme="majorEastAsia" w:hAnsiTheme="majorEastAsia" w:eastAsiaTheme="majorEastAsia" w:cstheme="majorEastAsia"/>
          <w:color w:val="auto"/>
          <w:sz w:val="24"/>
          <w:szCs w:val="24"/>
          <w:highlight w:val="none"/>
        </w:rPr>
      </w:pPr>
    </w:p>
    <w:p w14:paraId="4A3650CD">
      <w:pPr>
        <w:bidi w:val="0"/>
        <w:spacing w:line="360" w:lineRule="auto"/>
        <w:rPr>
          <w:rFonts w:hint="eastAsia" w:asciiTheme="majorEastAsia" w:hAnsiTheme="majorEastAsia" w:eastAsiaTheme="majorEastAsia" w:cstheme="majorEastAsia"/>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20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（4）投标人所报总价不得超过预算金额，否则当无效标处理。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3EB56DF5">
      <w:pPr>
        <w:spacing w:line="360" w:lineRule="auto"/>
        <w:rPr>
          <w:rFonts w:hint="default"/>
          <w:highlight w:val="none"/>
          <w:lang w:val="en-US" w:eastAsia="zh-CN"/>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06FFCED7">
      <w:pPr>
        <w:rPr>
          <w:rFonts w:hint="default"/>
          <w:highlight w:val="none"/>
          <w:lang w:val="en-US" w:eastAsia="zh-CN"/>
        </w:rPr>
      </w:pPr>
      <w:r>
        <w:rPr>
          <w:rFonts w:hint="eastAsia" w:ascii="新宋体" w:hAnsi="新宋体" w:eastAsia="新宋体" w:cs="宋体"/>
          <w:b/>
          <w:bCs/>
          <w:kern w:val="0"/>
          <w:sz w:val="32"/>
          <w:szCs w:val="32"/>
          <w:highlight w:val="none"/>
          <w:lang w:val="en-US" w:eastAsia="zh-CN" w:bidi="ar-SA"/>
        </w:rPr>
        <w:br w:type="page"/>
      </w:r>
    </w:p>
    <w:p w14:paraId="02E7E808">
      <w:pPr>
        <w:rPr>
          <w:rFonts w:hint="default"/>
          <w:highlight w:val="none"/>
          <w:lang w:val="en-US" w:eastAsia="zh-CN"/>
        </w:rPr>
      </w:pPr>
    </w:p>
    <w:p w14:paraId="3D39A930">
      <w:pPr>
        <w:rPr>
          <w:rFonts w:hint="default"/>
          <w:highlight w:val="none"/>
          <w:lang w:val="en-US" w:eastAsia="zh-CN"/>
        </w:rPr>
      </w:pPr>
    </w:p>
    <w:p w14:paraId="7992F6A3">
      <w:pPr>
        <w:rPr>
          <w:rFonts w:hint="default"/>
          <w:highlight w:val="none"/>
          <w:lang w:val="en-US" w:eastAsia="zh-CN"/>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46E8CABF">
      <w:pPr>
        <w:widowControl/>
        <w:spacing w:line="360" w:lineRule="auto"/>
        <w:jc w:val="left"/>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3"/>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3"/>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6"/>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jc w:val="center"/>
              <w:rPr>
                <w:rFonts w:ascii="宋体" w:hAnsi="宋体" w:cs="hakuyoxingshu7000"/>
                <w:bCs/>
                <w:sz w:val="24"/>
                <w:szCs w:val="24"/>
                <w:highlight w:val="none"/>
              </w:rPr>
            </w:pPr>
            <w:r>
              <w:rPr>
                <w:rFonts w:hint="eastAsia" w:ascii="宋体" w:hAnsi="宋体" w:cs="Times New Roman"/>
                <w:sz w:val="24"/>
                <w:szCs w:val="24"/>
                <w:highlight w:val="none"/>
                <w:lang w:eastAsia="zh-CN"/>
              </w:rPr>
              <w:t>财产保险综合险</w:t>
            </w:r>
          </w:p>
        </w:tc>
        <w:tc>
          <w:tcPr>
            <w:tcW w:w="2304" w:type="dxa"/>
            <w:vAlign w:val="center"/>
          </w:tcPr>
          <w:p w14:paraId="584EF199">
            <w:pPr>
              <w:spacing w:line="360" w:lineRule="auto"/>
              <w:jc w:val="center"/>
              <w:rPr>
                <w:rFonts w:ascii="宋体" w:hAnsi="宋体" w:cs="hakuyoxingshu7000"/>
                <w:bCs/>
                <w:sz w:val="24"/>
                <w:szCs w:val="24"/>
                <w:highlight w:val="none"/>
              </w:rPr>
            </w:pPr>
          </w:p>
        </w:tc>
        <w:tc>
          <w:tcPr>
            <w:tcW w:w="1525" w:type="dxa"/>
            <w:vAlign w:val="center"/>
          </w:tcPr>
          <w:p w14:paraId="487C9B37">
            <w:pPr>
              <w:spacing w:line="360" w:lineRule="auto"/>
              <w:jc w:val="center"/>
              <w:rPr>
                <w:rFonts w:hint="eastAsia" w:ascii="宋体" w:hAnsi="宋体" w:eastAsia="宋体" w:cs="hakuyoxingshu7000"/>
                <w:bCs/>
                <w:sz w:val="24"/>
                <w:szCs w:val="24"/>
                <w:highlight w:val="none"/>
                <w:lang w:val="en-US" w:eastAsia="zh-CN"/>
              </w:rPr>
            </w:pPr>
            <w:r>
              <w:rPr>
                <w:rFonts w:hint="eastAsia" w:ascii="宋体" w:hAnsi="宋体" w:cs="hakuyoxingshu7000"/>
                <w:bCs/>
                <w:sz w:val="24"/>
                <w:szCs w:val="24"/>
                <w:highlight w:val="none"/>
                <w:lang w:val="en-US" w:eastAsia="zh-CN"/>
              </w:rPr>
              <w:t>1</w:t>
            </w: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jc w:val="center"/>
              <w:rPr>
                <w:rFonts w:ascii="宋体" w:hAnsi="宋体" w:cs="hakuyoxingshu7000"/>
                <w:bCs/>
                <w:sz w:val="24"/>
                <w:szCs w:val="24"/>
                <w:highlight w:val="none"/>
              </w:rPr>
            </w:pPr>
            <w:r>
              <w:rPr>
                <w:rFonts w:hint="eastAsia" w:ascii="宋体" w:hAnsi="宋体" w:cs="Times New Roman"/>
                <w:sz w:val="24"/>
                <w:szCs w:val="24"/>
                <w:highlight w:val="none"/>
                <w:lang w:eastAsia="zh-CN"/>
              </w:rPr>
              <w:t>团体人身意外伤害保险</w:t>
            </w:r>
          </w:p>
        </w:tc>
        <w:tc>
          <w:tcPr>
            <w:tcW w:w="2304" w:type="dxa"/>
            <w:vAlign w:val="center"/>
          </w:tcPr>
          <w:p w14:paraId="2953C44F">
            <w:pPr>
              <w:spacing w:line="360" w:lineRule="auto"/>
              <w:jc w:val="center"/>
              <w:rPr>
                <w:rFonts w:ascii="宋体" w:hAnsi="宋体" w:cs="hakuyoxingshu7000"/>
                <w:bCs/>
                <w:sz w:val="24"/>
                <w:szCs w:val="24"/>
                <w:highlight w:val="none"/>
              </w:rPr>
            </w:pPr>
          </w:p>
        </w:tc>
        <w:tc>
          <w:tcPr>
            <w:tcW w:w="1525" w:type="dxa"/>
            <w:vAlign w:val="center"/>
          </w:tcPr>
          <w:p w14:paraId="4C44FE28">
            <w:pPr>
              <w:spacing w:line="360" w:lineRule="auto"/>
              <w:jc w:val="center"/>
              <w:rPr>
                <w:rFonts w:hint="default" w:ascii="宋体" w:hAnsi="宋体" w:eastAsia="宋体" w:cs="hakuyoxingshu7000"/>
                <w:bCs/>
                <w:sz w:val="24"/>
                <w:szCs w:val="24"/>
                <w:highlight w:val="none"/>
                <w:lang w:val="en-US" w:eastAsia="zh-CN"/>
              </w:rPr>
            </w:pPr>
            <w:r>
              <w:rPr>
                <w:rFonts w:hint="eastAsia" w:ascii="宋体" w:hAnsi="宋体" w:cs="hakuyoxingshu7000"/>
                <w:bCs/>
                <w:sz w:val="24"/>
                <w:szCs w:val="24"/>
                <w:highlight w:val="none"/>
                <w:lang w:val="en-US" w:eastAsia="zh-CN"/>
              </w:rPr>
              <w:t>401</w:t>
            </w: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hint="eastAsia" w:ascii="宋体" w:hAnsi="宋体" w:eastAsia="宋体" w:cs="hakuyoxingshu7000"/>
                <w:b/>
                <w:bCs/>
                <w:sz w:val="24"/>
                <w:szCs w:val="24"/>
                <w:highlight w:val="none"/>
                <w:lang w:eastAsia="zh-CN"/>
              </w:rPr>
            </w:pPr>
            <w:r>
              <w:rPr>
                <w:rFonts w:hint="eastAsia" w:ascii="宋体" w:hAnsi="宋体" w:cs="Times New Roman"/>
                <w:b w:val="0"/>
                <w:bCs w:val="0"/>
                <w:sz w:val="24"/>
                <w:szCs w:val="24"/>
                <w:highlight w:val="none"/>
                <w:lang w:val="en-US" w:eastAsia="zh-CN"/>
              </w:rPr>
              <w:t>数量以实际结算为准</w:t>
            </w: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0CA478D"/>
    <w:rsid w:val="01735F55"/>
    <w:rsid w:val="01920F12"/>
    <w:rsid w:val="02444CFE"/>
    <w:rsid w:val="02702D13"/>
    <w:rsid w:val="02AE55E9"/>
    <w:rsid w:val="0313544C"/>
    <w:rsid w:val="03A32C74"/>
    <w:rsid w:val="03B81543"/>
    <w:rsid w:val="03BE5308"/>
    <w:rsid w:val="03C2134C"/>
    <w:rsid w:val="04137DFA"/>
    <w:rsid w:val="041E1407"/>
    <w:rsid w:val="043A5387"/>
    <w:rsid w:val="046C7126"/>
    <w:rsid w:val="048177A5"/>
    <w:rsid w:val="05104339"/>
    <w:rsid w:val="05252DE6"/>
    <w:rsid w:val="054935FC"/>
    <w:rsid w:val="05542478"/>
    <w:rsid w:val="057D45C7"/>
    <w:rsid w:val="05B2719F"/>
    <w:rsid w:val="05B41DF3"/>
    <w:rsid w:val="063437DC"/>
    <w:rsid w:val="063F15D1"/>
    <w:rsid w:val="0663284C"/>
    <w:rsid w:val="06770E4D"/>
    <w:rsid w:val="074D3623"/>
    <w:rsid w:val="07F608F1"/>
    <w:rsid w:val="084367D4"/>
    <w:rsid w:val="08687FE8"/>
    <w:rsid w:val="09181A0E"/>
    <w:rsid w:val="09682EB8"/>
    <w:rsid w:val="09701596"/>
    <w:rsid w:val="09EF276F"/>
    <w:rsid w:val="09F47D86"/>
    <w:rsid w:val="0ABB16FD"/>
    <w:rsid w:val="0B280B93"/>
    <w:rsid w:val="0B9E1294"/>
    <w:rsid w:val="0C3E373D"/>
    <w:rsid w:val="0C48260B"/>
    <w:rsid w:val="0C811679"/>
    <w:rsid w:val="0C9814B5"/>
    <w:rsid w:val="0CD74F4E"/>
    <w:rsid w:val="0DCF4D92"/>
    <w:rsid w:val="0DD57DA6"/>
    <w:rsid w:val="0E1D50C2"/>
    <w:rsid w:val="0E2B3F92"/>
    <w:rsid w:val="0FC6104D"/>
    <w:rsid w:val="102D3FF1"/>
    <w:rsid w:val="10CA7A92"/>
    <w:rsid w:val="10F36FE9"/>
    <w:rsid w:val="110E0BAC"/>
    <w:rsid w:val="114C494B"/>
    <w:rsid w:val="117B0D8C"/>
    <w:rsid w:val="11CB32F9"/>
    <w:rsid w:val="127B54E8"/>
    <w:rsid w:val="12B22195"/>
    <w:rsid w:val="13823917"/>
    <w:rsid w:val="13CA1F19"/>
    <w:rsid w:val="13DD44F2"/>
    <w:rsid w:val="144E2A5F"/>
    <w:rsid w:val="14AD74AF"/>
    <w:rsid w:val="14E32ED1"/>
    <w:rsid w:val="16325C9C"/>
    <w:rsid w:val="164200CB"/>
    <w:rsid w:val="16B234A2"/>
    <w:rsid w:val="173845ED"/>
    <w:rsid w:val="178C784F"/>
    <w:rsid w:val="17FD24FB"/>
    <w:rsid w:val="18164B54"/>
    <w:rsid w:val="182201B4"/>
    <w:rsid w:val="187B02C7"/>
    <w:rsid w:val="18F00A8A"/>
    <w:rsid w:val="19431CF1"/>
    <w:rsid w:val="196C08F1"/>
    <w:rsid w:val="19A54BF8"/>
    <w:rsid w:val="1A846F04"/>
    <w:rsid w:val="1AAF0E80"/>
    <w:rsid w:val="1AC51655"/>
    <w:rsid w:val="1ADA6B24"/>
    <w:rsid w:val="1B586B1C"/>
    <w:rsid w:val="1B6D2EC4"/>
    <w:rsid w:val="1B943177"/>
    <w:rsid w:val="1BCD3B84"/>
    <w:rsid w:val="1BD532AE"/>
    <w:rsid w:val="1C275729"/>
    <w:rsid w:val="1C8431EB"/>
    <w:rsid w:val="1D525097"/>
    <w:rsid w:val="1E05197A"/>
    <w:rsid w:val="1EEA7AC6"/>
    <w:rsid w:val="1F090697"/>
    <w:rsid w:val="1F7B5265"/>
    <w:rsid w:val="1FA53EFC"/>
    <w:rsid w:val="1FD92A7D"/>
    <w:rsid w:val="20140D2A"/>
    <w:rsid w:val="203B6D03"/>
    <w:rsid w:val="20AC4ABE"/>
    <w:rsid w:val="20BE4494"/>
    <w:rsid w:val="21116909"/>
    <w:rsid w:val="213056EF"/>
    <w:rsid w:val="214271D1"/>
    <w:rsid w:val="214B19AF"/>
    <w:rsid w:val="21E30D42"/>
    <w:rsid w:val="22201238"/>
    <w:rsid w:val="22617B2B"/>
    <w:rsid w:val="23FA2DFB"/>
    <w:rsid w:val="24156E1F"/>
    <w:rsid w:val="242D0576"/>
    <w:rsid w:val="24BE3012"/>
    <w:rsid w:val="250003E1"/>
    <w:rsid w:val="250032EF"/>
    <w:rsid w:val="25396B3D"/>
    <w:rsid w:val="256922CB"/>
    <w:rsid w:val="25C12DBA"/>
    <w:rsid w:val="2601367E"/>
    <w:rsid w:val="260E1459"/>
    <w:rsid w:val="26647BE9"/>
    <w:rsid w:val="26CB1FFA"/>
    <w:rsid w:val="277327DA"/>
    <w:rsid w:val="278A02F5"/>
    <w:rsid w:val="27BA6FBE"/>
    <w:rsid w:val="282707F3"/>
    <w:rsid w:val="290B7C96"/>
    <w:rsid w:val="29915199"/>
    <w:rsid w:val="29CC6E69"/>
    <w:rsid w:val="2A24600D"/>
    <w:rsid w:val="2A4B17EC"/>
    <w:rsid w:val="2B0D5F6D"/>
    <w:rsid w:val="2B683928"/>
    <w:rsid w:val="2C025EDA"/>
    <w:rsid w:val="2C8402CC"/>
    <w:rsid w:val="2C9F3729"/>
    <w:rsid w:val="2CC15D95"/>
    <w:rsid w:val="2CD25DAF"/>
    <w:rsid w:val="2CFD466C"/>
    <w:rsid w:val="2D381852"/>
    <w:rsid w:val="2DDA4C9A"/>
    <w:rsid w:val="2DE55AB4"/>
    <w:rsid w:val="2DFA155F"/>
    <w:rsid w:val="2E0C3A22"/>
    <w:rsid w:val="2E0D1483"/>
    <w:rsid w:val="2EBB4BEE"/>
    <w:rsid w:val="2F2E6FE6"/>
    <w:rsid w:val="2F6A6270"/>
    <w:rsid w:val="319C6045"/>
    <w:rsid w:val="31B41C0A"/>
    <w:rsid w:val="31D54EF7"/>
    <w:rsid w:val="31EB11BF"/>
    <w:rsid w:val="32351D06"/>
    <w:rsid w:val="32A83B15"/>
    <w:rsid w:val="33395E7A"/>
    <w:rsid w:val="3345781A"/>
    <w:rsid w:val="33950813"/>
    <w:rsid w:val="33CD3272"/>
    <w:rsid w:val="33EA7980"/>
    <w:rsid w:val="354D466A"/>
    <w:rsid w:val="356419B4"/>
    <w:rsid w:val="3648297A"/>
    <w:rsid w:val="36575075"/>
    <w:rsid w:val="365A27C8"/>
    <w:rsid w:val="3694744F"/>
    <w:rsid w:val="36A80E8E"/>
    <w:rsid w:val="376D7696"/>
    <w:rsid w:val="37894282"/>
    <w:rsid w:val="378C2AA9"/>
    <w:rsid w:val="38C43CA9"/>
    <w:rsid w:val="3A706705"/>
    <w:rsid w:val="3B0F6651"/>
    <w:rsid w:val="3B781D15"/>
    <w:rsid w:val="3BE55E13"/>
    <w:rsid w:val="3C4B3FC2"/>
    <w:rsid w:val="3C990FCB"/>
    <w:rsid w:val="3D7E46A8"/>
    <w:rsid w:val="3DF81D2A"/>
    <w:rsid w:val="3E0B58B7"/>
    <w:rsid w:val="3E5E1BF9"/>
    <w:rsid w:val="3E75078E"/>
    <w:rsid w:val="3ECF1148"/>
    <w:rsid w:val="3F1F65DD"/>
    <w:rsid w:val="3FB757CD"/>
    <w:rsid w:val="3FEE56D0"/>
    <w:rsid w:val="40034CE0"/>
    <w:rsid w:val="40D7128C"/>
    <w:rsid w:val="413F4786"/>
    <w:rsid w:val="41DF2AEE"/>
    <w:rsid w:val="42162BD2"/>
    <w:rsid w:val="42181B5C"/>
    <w:rsid w:val="423A5616"/>
    <w:rsid w:val="42E12896"/>
    <w:rsid w:val="42E303BC"/>
    <w:rsid w:val="435E7A42"/>
    <w:rsid w:val="436B215F"/>
    <w:rsid w:val="43703F00"/>
    <w:rsid w:val="43F319C0"/>
    <w:rsid w:val="43F53D29"/>
    <w:rsid w:val="44564BBE"/>
    <w:rsid w:val="45B84D5C"/>
    <w:rsid w:val="45DD7344"/>
    <w:rsid w:val="46217054"/>
    <w:rsid w:val="46226C7C"/>
    <w:rsid w:val="46254F1A"/>
    <w:rsid w:val="464E3D9E"/>
    <w:rsid w:val="47B02837"/>
    <w:rsid w:val="48A905A4"/>
    <w:rsid w:val="49044BE8"/>
    <w:rsid w:val="491D3EFC"/>
    <w:rsid w:val="498D2E30"/>
    <w:rsid w:val="49F45D1E"/>
    <w:rsid w:val="4A3E7906"/>
    <w:rsid w:val="4A5C0AFE"/>
    <w:rsid w:val="4AA46683"/>
    <w:rsid w:val="4B2D35EC"/>
    <w:rsid w:val="4B3F63AB"/>
    <w:rsid w:val="4B6173B9"/>
    <w:rsid w:val="4B902EC5"/>
    <w:rsid w:val="4BA12BC2"/>
    <w:rsid w:val="4BF1634C"/>
    <w:rsid w:val="4C7240D0"/>
    <w:rsid w:val="4CE23492"/>
    <w:rsid w:val="4D3161C8"/>
    <w:rsid w:val="4D4C6D24"/>
    <w:rsid w:val="4D8412CA"/>
    <w:rsid w:val="4D8C6994"/>
    <w:rsid w:val="4DD17574"/>
    <w:rsid w:val="4E53118F"/>
    <w:rsid w:val="4E535E94"/>
    <w:rsid w:val="4EA56E6D"/>
    <w:rsid w:val="4EBC7D13"/>
    <w:rsid w:val="4ED67027"/>
    <w:rsid w:val="4EDE2193"/>
    <w:rsid w:val="4EE01C53"/>
    <w:rsid w:val="4F156EDC"/>
    <w:rsid w:val="4FA17CA6"/>
    <w:rsid w:val="4FEB04D1"/>
    <w:rsid w:val="514840EF"/>
    <w:rsid w:val="51E97071"/>
    <w:rsid w:val="524547A9"/>
    <w:rsid w:val="525613B6"/>
    <w:rsid w:val="52741FD4"/>
    <w:rsid w:val="54ED444E"/>
    <w:rsid w:val="55961CE5"/>
    <w:rsid w:val="55CA71B9"/>
    <w:rsid w:val="562E14F6"/>
    <w:rsid w:val="56B72E79"/>
    <w:rsid w:val="57AD28EF"/>
    <w:rsid w:val="57DF67F9"/>
    <w:rsid w:val="585039A6"/>
    <w:rsid w:val="58A43CF2"/>
    <w:rsid w:val="5A4E660B"/>
    <w:rsid w:val="5A807902"/>
    <w:rsid w:val="5B044F1C"/>
    <w:rsid w:val="5B235531"/>
    <w:rsid w:val="5BB300C0"/>
    <w:rsid w:val="5C3F2F33"/>
    <w:rsid w:val="5C7E30BB"/>
    <w:rsid w:val="5C7E5810"/>
    <w:rsid w:val="5CA54D24"/>
    <w:rsid w:val="5D5B41FF"/>
    <w:rsid w:val="5D7F0889"/>
    <w:rsid w:val="5D944335"/>
    <w:rsid w:val="5DBF01BE"/>
    <w:rsid w:val="5DD9443E"/>
    <w:rsid w:val="5DEE5043"/>
    <w:rsid w:val="5E117222"/>
    <w:rsid w:val="5E4775F9"/>
    <w:rsid w:val="5E5674C7"/>
    <w:rsid w:val="5EA17159"/>
    <w:rsid w:val="5EEB267A"/>
    <w:rsid w:val="5F3758C0"/>
    <w:rsid w:val="5F8748DA"/>
    <w:rsid w:val="5FDE1234"/>
    <w:rsid w:val="5FFE462F"/>
    <w:rsid w:val="615C785F"/>
    <w:rsid w:val="61E6537B"/>
    <w:rsid w:val="621E2D67"/>
    <w:rsid w:val="62AA45FB"/>
    <w:rsid w:val="62AC3ECF"/>
    <w:rsid w:val="63604C33"/>
    <w:rsid w:val="63653CAD"/>
    <w:rsid w:val="6393508F"/>
    <w:rsid w:val="63F7532D"/>
    <w:rsid w:val="64061D04"/>
    <w:rsid w:val="647B1A55"/>
    <w:rsid w:val="65561E5B"/>
    <w:rsid w:val="6573295C"/>
    <w:rsid w:val="6582360D"/>
    <w:rsid w:val="65B5026D"/>
    <w:rsid w:val="65C14135"/>
    <w:rsid w:val="65D17642"/>
    <w:rsid w:val="661701F9"/>
    <w:rsid w:val="667761EE"/>
    <w:rsid w:val="669D6869"/>
    <w:rsid w:val="66EB7B2A"/>
    <w:rsid w:val="67201A8D"/>
    <w:rsid w:val="673E0C66"/>
    <w:rsid w:val="675170DC"/>
    <w:rsid w:val="67B37AAD"/>
    <w:rsid w:val="68413EEA"/>
    <w:rsid w:val="68CA3301"/>
    <w:rsid w:val="69643755"/>
    <w:rsid w:val="69DC26B1"/>
    <w:rsid w:val="6A2151A2"/>
    <w:rsid w:val="6A654697"/>
    <w:rsid w:val="6C6D4A58"/>
    <w:rsid w:val="6D154D66"/>
    <w:rsid w:val="6D905053"/>
    <w:rsid w:val="6E542593"/>
    <w:rsid w:val="6E573888"/>
    <w:rsid w:val="6ECD3B4B"/>
    <w:rsid w:val="6F556684"/>
    <w:rsid w:val="70134ABB"/>
    <w:rsid w:val="70377E36"/>
    <w:rsid w:val="70B3479D"/>
    <w:rsid w:val="70F75741"/>
    <w:rsid w:val="712029B9"/>
    <w:rsid w:val="7174432C"/>
    <w:rsid w:val="71E10DB1"/>
    <w:rsid w:val="728C5ACB"/>
    <w:rsid w:val="7298621E"/>
    <w:rsid w:val="72B76A57"/>
    <w:rsid w:val="745B5217"/>
    <w:rsid w:val="74C01E69"/>
    <w:rsid w:val="74D64461"/>
    <w:rsid w:val="74DE02E5"/>
    <w:rsid w:val="755C628B"/>
    <w:rsid w:val="755E58D5"/>
    <w:rsid w:val="75995B4F"/>
    <w:rsid w:val="75AB6268"/>
    <w:rsid w:val="75F776FF"/>
    <w:rsid w:val="76036494"/>
    <w:rsid w:val="761360D7"/>
    <w:rsid w:val="76992E80"/>
    <w:rsid w:val="76DE455C"/>
    <w:rsid w:val="77F03ED5"/>
    <w:rsid w:val="78A44248"/>
    <w:rsid w:val="78C935D5"/>
    <w:rsid w:val="78C95383"/>
    <w:rsid w:val="794E57F6"/>
    <w:rsid w:val="79BF70EF"/>
    <w:rsid w:val="7A434CC1"/>
    <w:rsid w:val="7A9A058E"/>
    <w:rsid w:val="7ADB139D"/>
    <w:rsid w:val="7B68601A"/>
    <w:rsid w:val="7B713AB0"/>
    <w:rsid w:val="7BE349AD"/>
    <w:rsid w:val="7C38637B"/>
    <w:rsid w:val="7C3A6597"/>
    <w:rsid w:val="7C4C159F"/>
    <w:rsid w:val="7C857813"/>
    <w:rsid w:val="7CC935D6"/>
    <w:rsid w:val="7DE25B31"/>
    <w:rsid w:val="7DF05160"/>
    <w:rsid w:val="7E1F77F3"/>
    <w:rsid w:val="7E9D2BEE"/>
    <w:rsid w:val="7F361298"/>
    <w:rsid w:val="7FA513FD"/>
    <w:rsid w:val="7FAC4A8E"/>
    <w:rsid w:val="7FCC75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4">
    <w:name w:val="Body Text First Indent"/>
    <w:basedOn w:val="6"/>
    <w:qFormat/>
    <w:uiPriority w:val="0"/>
    <w:pPr>
      <w:ind w:firstLine="420" w:firstLineChars="100"/>
    </w:pPr>
    <w:rPr>
      <w:b/>
      <w:bCs/>
      <w:szCs w:val="24"/>
    </w:rPr>
  </w:style>
  <w:style w:type="paragraph" w:styleId="15">
    <w:name w:val="Body Text First Indent 2"/>
    <w:basedOn w:val="7"/>
    <w:qFormat/>
    <w:uiPriority w:val="0"/>
    <w:pPr>
      <w:spacing w:after="120"/>
      <w:ind w:left="420" w:leftChars="200" w:firstLine="420"/>
    </w:pPr>
    <w:rPr>
      <w:rFonts w:cs="宋体"/>
      <w:sz w:val="21"/>
      <w:szCs w:val="21"/>
    </w:rPr>
  </w:style>
  <w:style w:type="table" w:styleId="17">
    <w:name w:val="Table Grid"/>
    <w:basedOn w:val="16"/>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paragraph" w:customStyle="1" w:styleId="20">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1">
    <w:name w:val="标题 1 字符"/>
    <w:link w:val="2"/>
    <w:qFormat/>
    <w:uiPriority w:val="0"/>
    <w:rPr>
      <w:rFonts w:eastAsia="黑体"/>
      <w:b/>
      <w:sz w:val="32"/>
      <w:szCs w:val="20"/>
    </w:rPr>
  </w:style>
  <w:style w:type="paragraph" w:styleId="22">
    <w:name w:val="List Paragraph"/>
    <w:basedOn w:val="1"/>
    <w:qFormat/>
    <w:uiPriority w:val="0"/>
    <w:pPr>
      <w:ind w:firstLine="420" w:firstLineChars="200"/>
    </w:pPr>
    <w:rPr>
      <w:rFonts w:ascii="Calibri" w:hAnsi="Calibri"/>
      <w:szCs w:val="22"/>
    </w:rPr>
  </w:style>
  <w:style w:type="paragraph" w:customStyle="1" w:styleId="23">
    <w:name w:val="保留正文"/>
    <w:basedOn w:val="6"/>
    <w:qFormat/>
    <w:uiPriority w:val="0"/>
  </w:style>
  <w:style w:type="table" w:customStyle="1" w:styleId="24">
    <w:name w:val="Table Normal"/>
    <w:unhideWhenUsed/>
    <w:qFormat/>
    <w:uiPriority w:val="0"/>
    <w:tblPr>
      <w:tblCellMar>
        <w:top w:w="0" w:type="dxa"/>
        <w:left w:w="0" w:type="dxa"/>
        <w:bottom w:w="0" w:type="dxa"/>
        <w:right w:w="0" w:type="dxa"/>
      </w:tblCellMar>
    </w:tblPr>
  </w:style>
  <w:style w:type="paragraph" w:customStyle="1" w:styleId="25">
    <w:name w:val="Table Text"/>
    <w:basedOn w:val="1"/>
    <w:semiHidden/>
    <w:qFormat/>
    <w:uiPriority w:val="0"/>
    <w:rPr>
      <w:rFonts w:ascii="宋体" w:hAnsi="宋体" w:eastAsia="宋体" w:cs="宋体"/>
      <w:sz w:val="21"/>
      <w:szCs w:val="21"/>
      <w:lang w:val="en-US" w:eastAsia="en-US" w:bidi="ar-SA"/>
    </w:rPr>
  </w:style>
  <w:style w:type="paragraph" w:customStyle="1" w:styleId="26">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7">
    <w:name w:val="列出段落1"/>
    <w:basedOn w:val="1"/>
    <w:qFormat/>
    <w:uiPriority w:val="0"/>
    <w:pPr>
      <w:ind w:firstLine="420" w:firstLineChars="200"/>
    </w:pPr>
    <w:rPr>
      <w:szCs w:val="21"/>
    </w:rPr>
  </w:style>
  <w:style w:type="character" w:customStyle="1" w:styleId="28">
    <w:name w:val="font21"/>
    <w:basedOn w:val="18"/>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4022</Words>
  <Characters>4334</Characters>
  <Lines>0</Lines>
  <Paragraphs>0</Paragraphs>
  <TotalTime>8</TotalTime>
  <ScaleCrop>false</ScaleCrop>
  <LinksUpToDate>false</LinksUpToDate>
  <CharactersWithSpaces>5084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2024-11-28T06:17:14Z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