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C8B3DD">
      <w:pPr>
        <w:jc w:val="distribute"/>
        <w:rPr>
          <w:rFonts w:hint="eastAsia" w:ascii="新宋体" w:hAnsi="新宋体" w:eastAsia="新宋体" w:cs="新宋体"/>
          <w:b/>
          <w:bCs/>
          <w:color w:val="auto"/>
          <w:sz w:val="96"/>
          <w:szCs w:val="96"/>
          <w:highlight w:val="none"/>
        </w:rPr>
      </w:pPr>
    </w:p>
    <w:p w14:paraId="7E90D306">
      <w:pPr>
        <w:jc w:val="distribute"/>
        <w:rPr>
          <w:rFonts w:hint="eastAsia" w:ascii="新宋体" w:hAnsi="新宋体" w:eastAsia="新宋体" w:cs="新宋体"/>
          <w:b/>
          <w:bCs/>
          <w:color w:val="auto"/>
          <w:sz w:val="52"/>
          <w:szCs w:val="52"/>
          <w:highlight w:val="none"/>
          <w:lang w:eastAsia="zh-CN"/>
        </w:rPr>
      </w:pPr>
      <w:r>
        <w:rPr>
          <w:rFonts w:hint="eastAsia" w:ascii="新宋体" w:hAnsi="新宋体" w:eastAsia="新宋体" w:cs="新宋体"/>
          <w:b/>
          <w:bCs/>
          <w:color w:val="auto"/>
          <w:sz w:val="96"/>
          <w:szCs w:val="96"/>
          <w:highlight w:val="none"/>
          <w:lang w:eastAsia="zh-CN"/>
        </w:rPr>
        <w:t>温州市第七人民医院</w:t>
      </w:r>
    </w:p>
    <w:p w14:paraId="5E2DA009">
      <w:pPr>
        <w:rPr>
          <w:rFonts w:hint="eastAsia" w:ascii="新宋体" w:hAnsi="新宋体" w:eastAsia="新宋体" w:cs="新宋体"/>
          <w:b/>
          <w:bCs/>
          <w:color w:val="auto"/>
          <w:spacing w:val="140"/>
          <w:sz w:val="72"/>
          <w:highlight w:val="none"/>
        </w:rPr>
      </w:pPr>
    </w:p>
    <w:p w14:paraId="118FF522">
      <w:pPr>
        <w:rPr>
          <w:rFonts w:hint="eastAsia" w:ascii="新宋体" w:hAnsi="新宋体" w:eastAsia="新宋体" w:cs="新宋体"/>
          <w:color w:val="auto"/>
          <w:highlight w:val="none"/>
        </w:rPr>
      </w:pPr>
    </w:p>
    <w:p w14:paraId="1E3FFBF6">
      <w:pPr>
        <w:rPr>
          <w:rFonts w:hint="eastAsia" w:ascii="新宋体" w:hAnsi="新宋体" w:eastAsia="新宋体" w:cs="新宋体"/>
          <w:color w:val="auto"/>
          <w:highlight w:val="none"/>
        </w:rPr>
      </w:pPr>
    </w:p>
    <w:p w14:paraId="68A85802">
      <w:pPr>
        <w:rPr>
          <w:rFonts w:hint="eastAsia" w:ascii="新宋体" w:hAnsi="新宋体" w:eastAsia="新宋体" w:cs="新宋体"/>
          <w:color w:val="auto"/>
          <w:highlight w:val="none"/>
        </w:rPr>
      </w:pPr>
    </w:p>
    <w:p w14:paraId="75F95843">
      <w:pPr>
        <w:adjustRightInd w:val="0"/>
        <w:snapToGrid w:val="0"/>
        <w:spacing w:line="480" w:lineRule="auto"/>
        <w:ind w:right="361"/>
        <w:jc w:val="center"/>
        <w:rPr>
          <w:rFonts w:hint="eastAsia" w:ascii="新宋体" w:hAnsi="新宋体" w:eastAsia="新宋体" w:cs="新宋体"/>
          <w:color w:val="auto"/>
          <w:sz w:val="84"/>
          <w:szCs w:val="84"/>
          <w:highlight w:val="none"/>
        </w:rPr>
      </w:pPr>
      <w:r>
        <w:rPr>
          <w:rFonts w:hint="eastAsia" w:ascii="新宋体" w:hAnsi="新宋体" w:eastAsia="新宋体" w:cs="新宋体"/>
          <w:b/>
          <w:bCs/>
          <w:color w:val="auto"/>
          <w:sz w:val="84"/>
          <w:szCs w:val="84"/>
          <w:highlight w:val="none"/>
        </w:rPr>
        <w:t>招 标 文 件</w:t>
      </w:r>
    </w:p>
    <w:p w14:paraId="560AFA3D">
      <w:pPr>
        <w:keepNext w:val="0"/>
        <w:keepLines w:val="0"/>
        <w:pageBreakBefore w:val="0"/>
        <w:widowControl w:val="0"/>
        <w:kinsoku/>
        <w:wordWrap/>
        <w:overflowPunct/>
        <w:topLinePunct w:val="0"/>
        <w:autoSpaceDE/>
        <w:autoSpaceDN/>
        <w:bidi w:val="0"/>
        <w:adjustRightInd/>
        <w:snapToGrid/>
        <w:spacing w:line="800" w:lineRule="exact"/>
        <w:ind w:firstLine="1500" w:firstLineChars="500"/>
        <w:textAlignment w:val="auto"/>
        <w:rPr>
          <w:rFonts w:hint="eastAsia" w:ascii="新宋体" w:hAnsi="新宋体" w:eastAsia="新宋体" w:cs="新宋体"/>
          <w:color w:val="auto"/>
          <w:spacing w:val="40"/>
          <w:szCs w:val="30"/>
          <w:highlight w:val="none"/>
          <w:lang w:eastAsia="zh-CN"/>
        </w:rPr>
      </w:pPr>
      <w:r>
        <w:rPr>
          <w:rFonts w:hint="eastAsia" w:ascii="新宋体" w:hAnsi="新宋体" w:eastAsia="新宋体" w:cs="新宋体"/>
          <w:color w:val="auto"/>
          <w:sz w:val="30"/>
          <w:szCs w:val="30"/>
          <w:highlight w:val="none"/>
        </w:rPr>
        <w:t>项目编号：</w:t>
      </w:r>
      <w:r>
        <w:rPr>
          <w:rFonts w:hint="eastAsia" w:ascii="新宋体" w:hAnsi="新宋体" w:eastAsia="新宋体" w:cs="新宋体"/>
          <w:b/>
          <w:bCs/>
          <w:color w:val="auto"/>
          <w:sz w:val="30"/>
          <w:szCs w:val="30"/>
          <w:highlight w:val="none"/>
          <w:lang w:eastAsia="zh-CN"/>
        </w:rPr>
        <w:t>WZLCZB（L）-2025-04100</w:t>
      </w:r>
    </w:p>
    <w:p w14:paraId="3A80F3FF">
      <w:pPr>
        <w:keepNext w:val="0"/>
        <w:keepLines w:val="0"/>
        <w:pageBreakBefore w:val="0"/>
        <w:widowControl w:val="0"/>
        <w:kinsoku/>
        <w:wordWrap/>
        <w:overflowPunct/>
        <w:topLinePunct w:val="0"/>
        <w:autoSpaceDE/>
        <w:autoSpaceDN/>
        <w:bidi w:val="0"/>
        <w:adjustRightInd/>
        <w:snapToGrid/>
        <w:spacing w:line="800" w:lineRule="exact"/>
        <w:ind w:firstLine="1500" w:firstLineChars="500"/>
        <w:textAlignment w:val="auto"/>
        <w:rPr>
          <w:rFonts w:hint="eastAsia" w:ascii="新宋体" w:hAnsi="新宋体" w:eastAsia="新宋体" w:cs="新宋体"/>
          <w:color w:val="auto"/>
          <w:sz w:val="30"/>
          <w:szCs w:val="30"/>
          <w:highlight w:val="none"/>
          <w:lang w:eastAsia="zh-CN"/>
        </w:rPr>
      </w:pPr>
      <w:r>
        <w:rPr>
          <w:rFonts w:hint="eastAsia" w:ascii="新宋体" w:hAnsi="新宋体" w:eastAsia="新宋体" w:cs="新宋体"/>
          <w:color w:val="auto"/>
          <w:sz w:val="30"/>
          <w:szCs w:val="30"/>
          <w:highlight w:val="none"/>
        </w:rPr>
        <w:t>项目名称：</w:t>
      </w:r>
      <w:r>
        <w:rPr>
          <w:rFonts w:hint="eastAsia" w:ascii="新宋体" w:hAnsi="新宋体" w:eastAsia="新宋体" w:cs="新宋体"/>
          <w:b/>
          <w:bCs/>
          <w:color w:val="auto"/>
          <w:sz w:val="30"/>
          <w:szCs w:val="30"/>
          <w:highlight w:val="none"/>
          <w:lang w:eastAsia="zh-CN"/>
        </w:rPr>
        <w:t>2025年布草洗涤服务</w:t>
      </w:r>
    </w:p>
    <w:p w14:paraId="20F9E744">
      <w:pPr>
        <w:keepNext w:val="0"/>
        <w:keepLines w:val="0"/>
        <w:pageBreakBefore w:val="0"/>
        <w:widowControl w:val="0"/>
        <w:kinsoku/>
        <w:wordWrap/>
        <w:overflowPunct/>
        <w:topLinePunct w:val="0"/>
        <w:autoSpaceDE/>
        <w:autoSpaceDN/>
        <w:bidi w:val="0"/>
        <w:adjustRightInd/>
        <w:snapToGrid/>
        <w:spacing w:line="800" w:lineRule="exact"/>
        <w:ind w:firstLine="1500" w:firstLineChars="500"/>
        <w:textAlignment w:val="auto"/>
        <w:rPr>
          <w:rFonts w:hint="eastAsia" w:ascii="新宋体" w:hAnsi="新宋体" w:eastAsia="新宋体" w:cs="新宋体"/>
          <w:color w:val="auto"/>
          <w:sz w:val="30"/>
          <w:szCs w:val="30"/>
          <w:highlight w:val="none"/>
        </w:rPr>
      </w:pPr>
      <w:r>
        <w:rPr>
          <w:rFonts w:hint="eastAsia" w:ascii="新宋体" w:hAnsi="新宋体" w:eastAsia="新宋体" w:cs="新宋体"/>
          <w:color w:val="auto"/>
          <w:sz w:val="30"/>
          <w:szCs w:val="30"/>
          <w:highlight w:val="none"/>
        </w:rPr>
        <w:t>采购方式：</w:t>
      </w:r>
      <w:r>
        <w:rPr>
          <w:rFonts w:hint="eastAsia" w:ascii="新宋体" w:hAnsi="新宋体" w:eastAsia="新宋体" w:cs="新宋体"/>
          <w:b/>
          <w:bCs/>
          <w:color w:val="auto"/>
          <w:sz w:val="30"/>
          <w:szCs w:val="30"/>
          <w:highlight w:val="none"/>
        </w:rPr>
        <w:t>公开招标</w:t>
      </w:r>
    </w:p>
    <w:p w14:paraId="790D4DB7">
      <w:pPr>
        <w:keepNext w:val="0"/>
        <w:keepLines w:val="0"/>
        <w:pageBreakBefore w:val="0"/>
        <w:widowControl w:val="0"/>
        <w:kinsoku/>
        <w:wordWrap/>
        <w:overflowPunct/>
        <w:topLinePunct w:val="0"/>
        <w:autoSpaceDE/>
        <w:autoSpaceDN/>
        <w:bidi w:val="0"/>
        <w:adjustRightInd/>
        <w:snapToGrid/>
        <w:spacing w:line="800" w:lineRule="exact"/>
        <w:ind w:firstLine="1500" w:firstLineChars="500"/>
        <w:textAlignment w:val="auto"/>
        <w:rPr>
          <w:rFonts w:hint="eastAsia" w:ascii="新宋体" w:hAnsi="新宋体" w:eastAsia="新宋体" w:cs="新宋体"/>
          <w:color w:val="auto"/>
          <w:sz w:val="30"/>
          <w:szCs w:val="30"/>
          <w:highlight w:val="none"/>
        </w:rPr>
      </w:pPr>
      <w:r>
        <w:rPr>
          <w:rFonts w:hint="eastAsia" w:ascii="新宋体" w:hAnsi="新宋体" w:eastAsia="新宋体" w:cs="新宋体"/>
          <w:color w:val="auto"/>
          <w:sz w:val="30"/>
          <w:szCs w:val="30"/>
          <w:highlight w:val="none"/>
        </w:rPr>
        <w:t>评审方式：</w:t>
      </w:r>
      <w:r>
        <w:rPr>
          <w:rFonts w:hint="eastAsia" w:ascii="新宋体" w:hAnsi="新宋体" w:eastAsia="新宋体" w:cs="新宋体"/>
          <w:b/>
          <w:bCs/>
          <w:color w:val="auto"/>
          <w:sz w:val="30"/>
          <w:szCs w:val="30"/>
          <w:highlight w:val="none"/>
        </w:rPr>
        <w:t>线上电子招投标</w:t>
      </w:r>
    </w:p>
    <w:p w14:paraId="4E39DD6E">
      <w:pPr>
        <w:bidi w:val="0"/>
        <w:rPr>
          <w:rFonts w:hint="eastAsia" w:ascii="新宋体" w:hAnsi="新宋体" w:eastAsia="新宋体" w:cs="新宋体"/>
          <w:color w:val="auto"/>
          <w:highlight w:val="none"/>
        </w:rPr>
      </w:pPr>
    </w:p>
    <w:p w14:paraId="52722B30">
      <w:pPr>
        <w:bidi w:val="0"/>
        <w:rPr>
          <w:rFonts w:hint="eastAsia" w:ascii="新宋体" w:hAnsi="新宋体" w:eastAsia="新宋体" w:cs="新宋体"/>
          <w:color w:val="auto"/>
          <w:highlight w:val="none"/>
        </w:rPr>
      </w:pPr>
    </w:p>
    <w:p w14:paraId="7B1C01D1">
      <w:pPr>
        <w:bidi w:val="0"/>
        <w:rPr>
          <w:rFonts w:hint="eastAsia" w:ascii="新宋体" w:hAnsi="新宋体" w:eastAsia="新宋体" w:cs="新宋体"/>
          <w:color w:val="auto"/>
          <w:highlight w:val="none"/>
        </w:rPr>
      </w:pPr>
    </w:p>
    <w:p w14:paraId="0B4C4A91">
      <w:pPr>
        <w:rPr>
          <w:rFonts w:hint="eastAsia" w:ascii="新宋体" w:hAnsi="新宋体" w:eastAsia="新宋体" w:cs="新宋体"/>
          <w:color w:val="auto"/>
          <w:highlight w:val="none"/>
        </w:rPr>
      </w:pPr>
    </w:p>
    <w:p w14:paraId="58B4CE5F">
      <w:pPr>
        <w:spacing w:line="600" w:lineRule="exact"/>
        <w:jc w:val="center"/>
        <w:rPr>
          <w:rFonts w:hint="eastAsia" w:ascii="新宋体" w:hAnsi="新宋体" w:eastAsia="新宋体" w:cs="新宋体"/>
          <w:color w:val="auto"/>
          <w:spacing w:val="30"/>
          <w:sz w:val="30"/>
          <w:highlight w:val="none"/>
          <w:lang w:eastAsia="zh-CN"/>
        </w:rPr>
      </w:pPr>
      <w:r>
        <w:rPr>
          <w:rFonts w:hint="eastAsia" w:ascii="新宋体" w:hAnsi="新宋体" w:eastAsia="新宋体" w:cs="新宋体"/>
          <w:color w:val="auto"/>
          <w:spacing w:val="30"/>
          <w:sz w:val="30"/>
          <w:highlight w:val="none"/>
        </w:rPr>
        <w:t>招 标 人：</w:t>
      </w:r>
      <w:r>
        <w:rPr>
          <w:rFonts w:hint="eastAsia" w:ascii="新宋体" w:hAnsi="新宋体" w:eastAsia="新宋体" w:cs="新宋体"/>
          <w:color w:val="auto"/>
          <w:spacing w:val="30"/>
          <w:sz w:val="30"/>
          <w:highlight w:val="none"/>
          <w:lang w:eastAsia="zh-CN"/>
        </w:rPr>
        <w:t>温州市第七人民医院</w:t>
      </w:r>
    </w:p>
    <w:p w14:paraId="1C794997">
      <w:pPr>
        <w:spacing w:line="600" w:lineRule="exact"/>
        <w:jc w:val="center"/>
        <w:rPr>
          <w:rFonts w:hint="eastAsia" w:ascii="新宋体" w:hAnsi="新宋体" w:eastAsia="新宋体" w:cs="新宋体"/>
          <w:color w:val="auto"/>
          <w:spacing w:val="30"/>
          <w:sz w:val="30"/>
          <w:highlight w:val="none"/>
        </w:rPr>
      </w:pPr>
      <w:r>
        <w:rPr>
          <w:rFonts w:hint="eastAsia" w:ascii="新宋体" w:hAnsi="新宋体" w:eastAsia="新宋体" w:cs="新宋体"/>
          <w:color w:val="auto"/>
          <w:spacing w:val="30"/>
          <w:sz w:val="30"/>
          <w:highlight w:val="none"/>
        </w:rPr>
        <w:t>招标代理机构：温州历程招标有限公司</w:t>
      </w:r>
    </w:p>
    <w:p w14:paraId="426EC344">
      <w:pPr>
        <w:spacing w:line="600" w:lineRule="exact"/>
        <w:jc w:val="center"/>
        <w:rPr>
          <w:rFonts w:hint="eastAsia" w:ascii="新宋体" w:hAnsi="新宋体" w:eastAsia="新宋体" w:cs="新宋体"/>
          <w:color w:val="auto"/>
          <w:spacing w:val="30"/>
          <w:sz w:val="30"/>
          <w:highlight w:val="none"/>
          <w:lang w:val="en-US" w:eastAsia="zh-CN"/>
        </w:rPr>
      </w:pPr>
      <w:r>
        <w:rPr>
          <w:rFonts w:hint="eastAsia" w:ascii="新宋体" w:hAnsi="新宋体" w:eastAsia="新宋体" w:cs="新宋体"/>
          <w:color w:val="auto"/>
          <w:spacing w:val="30"/>
          <w:sz w:val="30"/>
          <w:highlight w:val="none"/>
        </w:rPr>
        <w:t>二〇二</w:t>
      </w:r>
      <w:r>
        <w:rPr>
          <w:rFonts w:hint="eastAsia" w:ascii="新宋体" w:hAnsi="新宋体" w:eastAsia="新宋体" w:cs="新宋体"/>
          <w:color w:val="auto"/>
          <w:spacing w:val="30"/>
          <w:sz w:val="30"/>
          <w:highlight w:val="none"/>
          <w:lang w:val="en-US" w:eastAsia="zh-CN"/>
        </w:rPr>
        <w:t>五</w:t>
      </w:r>
      <w:r>
        <w:rPr>
          <w:rFonts w:hint="eastAsia" w:ascii="新宋体" w:hAnsi="新宋体" w:eastAsia="新宋体" w:cs="新宋体"/>
          <w:color w:val="auto"/>
          <w:spacing w:val="30"/>
          <w:sz w:val="30"/>
          <w:highlight w:val="none"/>
        </w:rPr>
        <w:t>年</w:t>
      </w:r>
      <w:r>
        <w:rPr>
          <w:rFonts w:hint="eastAsia" w:ascii="新宋体" w:hAnsi="新宋体" w:eastAsia="新宋体" w:cs="新宋体"/>
          <w:color w:val="auto"/>
          <w:spacing w:val="30"/>
          <w:sz w:val="30"/>
          <w:highlight w:val="none"/>
          <w:lang w:val="en-US" w:eastAsia="zh-CN"/>
        </w:rPr>
        <w:t>四月</w:t>
      </w:r>
    </w:p>
    <w:p w14:paraId="5E101736">
      <w:pPr>
        <w:pStyle w:val="23"/>
        <w:ind w:left="0" w:leftChars="0"/>
        <w:rPr>
          <w:rFonts w:hint="eastAsia" w:ascii="新宋体" w:hAnsi="新宋体" w:eastAsia="新宋体" w:cs="新宋体"/>
          <w:color w:val="auto"/>
          <w:highlight w:val="none"/>
        </w:rPr>
      </w:pPr>
    </w:p>
    <w:p w14:paraId="11290F7A">
      <w:pPr>
        <w:spacing w:before="100" w:beforeAutospacing="1" w:after="100" w:afterAutospacing="1" w:line="440" w:lineRule="exact"/>
        <w:jc w:val="center"/>
        <w:outlineLvl w:val="0"/>
        <w:rPr>
          <w:rFonts w:hint="eastAsia" w:ascii="新宋体" w:hAnsi="新宋体" w:eastAsia="新宋体" w:cs="新宋体"/>
          <w:b/>
          <w:bCs/>
          <w:color w:val="auto"/>
          <w:sz w:val="32"/>
          <w:szCs w:val="32"/>
          <w:highlight w:val="none"/>
        </w:rPr>
        <w:sectPr>
          <w:headerReference r:id="rId4" w:type="first"/>
          <w:headerReference r:id="rId3" w:type="default"/>
          <w:footerReference r:id="rId5" w:type="default"/>
          <w:pgSz w:w="11907" w:h="16840"/>
          <w:pgMar w:top="1134" w:right="1134" w:bottom="1134" w:left="1134" w:header="851" w:footer="992" w:gutter="0"/>
          <w:pgBorders>
            <w:top w:val="none" w:sz="0" w:space="0"/>
            <w:left w:val="none" w:sz="0" w:space="0"/>
            <w:bottom w:val="none" w:sz="0" w:space="0"/>
            <w:right w:val="none" w:sz="0" w:space="0"/>
          </w:pgBorders>
          <w:pgNumType w:start="1"/>
          <w:cols w:space="720" w:num="1"/>
          <w:titlePg/>
          <w:docGrid w:linePitch="312" w:charSpace="0"/>
        </w:sectPr>
      </w:pPr>
    </w:p>
    <w:p w14:paraId="14C9BD7C">
      <w:pPr>
        <w:spacing w:before="100" w:beforeAutospacing="1" w:after="100" w:afterAutospacing="1" w:line="440" w:lineRule="exact"/>
        <w:jc w:val="center"/>
        <w:outlineLvl w:val="0"/>
        <w:rPr>
          <w:rFonts w:hint="eastAsia" w:ascii="新宋体" w:hAnsi="新宋体" w:eastAsia="新宋体" w:cs="新宋体"/>
          <w:b/>
          <w:bCs/>
          <w:color w:val="auto"/>
          <w:sz w:val="32"/>
          <w:szCs w:val="32"/>
          <w:highlight w:val="none"/>
        </w:rPr>
      </w:pPr>
      <w:bookmarkStart w:id="0" w:name="_Toc15212"/>
      <w:r>
        <w:rPr>
          <w:rFonts w:hint="eastAsia" w:ascii="新宋体" w:hAnsi="新宋体" w:eastAsia="新宋体" w:cs="新宋体"/>
          <w:b/>
          <w:bCs/>
          <w:color w:val="auto"/>
          <w:sz w:val="32"/>
          <w:szCs w:val="32"/>
          <w:highlight w:val="none"/>
        </w:rPr>
        <w:t>目    录</w:t>
      </w:r>
      <w:bookmarkEnd w:id="0"/>
    </w:p>
    <w:p w14:paraId="373B1FDA">
      <w:pPr>
        <w:pStyle w:val="40"/>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TOC \o "1-3" \h \u \* MERGEFORMAT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_Toc15212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目    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_Toc15212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14ADFFE9">
      <w:pPr>
        <w:pStyle w:val="40"/>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_Toc14780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招标公告</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_Toc14780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40322B8">
      <w:pPr>
        <w:pStyle w:val="40"/>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_Toc23025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第一部分    投标人须知</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_Toc23025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7</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87FBCFD">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_Toc24985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前 附 表</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_Toc24985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7</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192F7C9B">
      <w:pPr>
        <w:pStyle w:val="29"/>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_Toc9399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一、 说   明</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_Toc9399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E725798">
      <w:pPr>
        <w:pStyle w:val="29"/>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_Toc21573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二、 招标文件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_Toc21573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DE9C849">
      <w:pPr>
        <w:pStyle w:val="29"/>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_Toc1364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三、 投标文件的编制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_Toc1364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13</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6D1A69A">
      <w:pPr>
        <w:pStyle w:val="29"/>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_Toc29614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四、 投标文件的递交</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_Toc29614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1FF46FC9">
      <w:pPr>
        <w:pStyle w:val="29"/>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_Toc8700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五、 开标和评标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_Toc8700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223411B">
      <w:pPr>
        <w:pStyle w:val="29"/>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_Toc28976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六、 授予合同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_Toc28976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611F062">
      <w:pPr>
        <w:pStyle w:val="40"/>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_Toc25260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第二部分    合同主要条款</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_Toc25260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FFC0FE8">
      <w:pPr>
        <w:pStyle w:val="40"/>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_Toc26778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第三部分    附件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_Toc26778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7028394">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_Toc8348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附件一</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_Toc8348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368341A">
      <w:pPr>
        <w:pStyle w:val="29"/>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_Toc20581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资格证明文件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_Toc20581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1015151">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_Toc23058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_Toc23058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37D14B2">
      <w:pPr>
        <w:pStyle w:val="29"/>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_Toc20642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报价文件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_Toc20642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5816914">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_Toc22040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附件三</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_Toc22040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7E695AC">
      <w:pPr>
        <w:pStyle w:val="29"/>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_Toc24178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商务技术文件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_Toc24178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0F19217">
      <w:pPr>
        <w:pStyle w:val="40"/>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_Toc16037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第四部分   项目技术规范和服务要求</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_Toc16037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47</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57DDCF7">
      <w:pPr>
        <w:pStyle w:val="40"/>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_Toc10231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第五部分   评标原则及方法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_Toc10231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7FDE878">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_Toc11569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一、总 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_Toc11569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66A7936">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_Toc32037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二、</w:t>
      </w:r>
      <w:r>
        <w:rPr>
          <w:rFonts w:hint="eastAsia" w:ascii="新宋体" w:hAnsi="新宋体" w:eastAsia="新宋体" w:cs="新宋体"/>
          <w:bCs/>
          <w:color w:val="auto"/>
          <w:sz w:val="22"/>
          <w:szCs w:val="22"/>
          <w:highlight w:val="none"/>
        </w:rPr>
        <w:t>评标</w:t>
      </w:r>
      <w:r>
        <w:rPr>
          <w:rFonts w:hint="eastAsia" w:ascii="新宋体" w:hAnsi="新宋体" w:eastAsia="新宋体" w:cs="新宋体"/>
          <w:color w:val="auto"/>
          <w:sz w:val="22"/>
          <w:szCs w:val="22"/>
          <w:highlight w:val="none"/>
        </w:rPr>
        <w:t>组织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_Toc32037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A209B82">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_Toc17618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三、</w:t>
      </w:r>
      <w:r>
        <w:rPr>
          <w:rFonts w:hint="eastAsia" w:ascii="新宋体" w:hAnsi="新宋体" w:eastAsia="新宋体" w:cs="新宋体"/>
          <w:bCs/>
          <w:color w:val="auto"/>
          <w:sz w:val="22"/>
          <w:szCs w:val="22"/>
          <w:highlight w:val="none"/>
        </w:rPr>
        <w:t>评标</w:t>
      </w:r>
      <w:r>
        <w:rPr>
          <w:rFonts w:hint="eastAsia" w:ascii="新宋体" w:hAnsi="新宋体" w:eastAsia="新宋体" w:cs="新宋体"/>
          <w:color w:val="auto"/>
          <w:sz w:val="22"/>
          <w:szCs w:val="22"/>
          <w:highlight w:val="none"/>
        </w:rPr>
        <w:t>程序</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_Toc17618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8E61A34">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_Toc997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四、评标办法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_Toc997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A5BE33B">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_Toc3662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五、</w:t>
      </w:r>
      <w:r>
        <w:rPr>
          <w:rFonts w:hint="eastAsia" w:ascii="新宋体" w:hAnsi="新宋体" w:eastAsia="新宋体" w:cs="新宋体"/>
          <w:bCs/>
          <w:color w:val="auto"/>
          <w:sz w:val="22"/>
          <w:szCs w:val="22"/>
          <w:highlight w:val="none"/>
        </w:rPr>
        <w:t>评分</w:t>
      </w:r>
      <w:r>
        <w:rPr>
          <w:rFonts w:hint="eastAsia" w:ascii="新宋体" w:hAnsi="新宋体" w:eastAsia="新宋体" w:cs="新宋体"/>
          <w:color w:val="auto"/>
          <w:sz w:val="22"/>
          <w:szCs w:val="22"/>
          <w:highlight w:val="none"/>
        </w:rPr>
        <w:t>细则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_Toc3662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748E00E">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_Toc14937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六、定标办法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_Toc14937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0B1D862">
      <w:pPr>
        <w:pStyle w:val="46"/>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_Toc11730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七、投标人义务</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_Toc11730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25F7C5B">
      <w:pPr>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0"/>
        <w:rPr>
          <w:rFonts w:hint="eastAsia"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w:fldChar w:fldCharType="end"/>
      </w:r>
      <w:bookmarkStart w:id="1" w:name="_Toc14780"/>
      <w:r>
        <w:rPr>
          <w:rFonts w:hint="eastAsia" w:ascii="新宋体" w:hAnsi="新宋体" w:eastAsia="新宋体" w:cs="新宋体"/>
          <w:b/>
          <w:color w:val="auto"/>
          <w:sz w:val="30"/>
          <w:highlight w:val="none"/>
        </w:rPr>
        <w:br w:type="page"/>
      </w:r>
      <w:bookmarkStart w:id="2" w:name="_Toc18348"/>
      <w:bookmarkStart w:id="3" w:name="_Toc32186"/>
      <w:bookmarkStart w:id="4" w:name="_Toc12859"/>
      <w:r>
        <w:rPr>
          <w:rFonts w:hint="eastAsia" w:ascii="新宋体" w:hAnsi="新宋体" w:eastAsia="新宋体" w:cs="新宋体"/>
          <w:b/>
          <w:bCs/>
          <w:color w:val="auto"/>
          <w:sz w:val="28"/>
          <w:szCs w:val="28"/>
          <w:highlight w:val="none"/>
        </w:rPr>
        <w:t>温州历程招标有限公司关于</w:t>
      </w:r>
      <w:r>
        <w:rPr>
          <w:rFonts w:hint="eastAsia" w:ascii="新宋体" w:hAnsi="新宋体" w:eastAsia="新宋体" w:cs="新宋体"/>
          <w:b/>
          <w:bCs/>
          <w:color w:val="auto"/>
          <w:sz w:val="28"/>
          <w:szCs w:val="28"/>
          <w:highlight w:val="none"/>
          <w:lang w:eastAsia="zh-CN"/>
        </w:rPr>
        <w:t>温州市第七人民医院2025年布草洗涤服务</w:t>
      </w:r>
      <w:r>
        <w:rPr>
          <w:rFonts w:hint="eastAsia" w:ascii="新宋体" w:hAnsi="新宋体" w:eastAsia="新宋体" w:cs="新宋体"/>
          <w:b/>
          <w:bCs/>
          <w:color w:val="auto"/>
          <w:sz w:val="28"/>
          <w:szCs w:val="28"/>
          <w:highlight w:val="none"/>
        </w:rPr>
        <w:t>的公开招标公告</w:t>
      </w:r>
      <w:bookmarkEnd w:id="1"/>
      <w:bookmarkEnd w:id="2"/>
      <w:bookmarkEnd w:id="3"/>
      <w:bookmarkEnd w:id="4"/>
    </w:p>
    <w:tbl>
      <w:tblPr>
        <w:tblStyle w:val="54"/>
        <w:tblW w:w="9945" w:type="dxa"/>
        <w:tblInd w:w="-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45"/>
      </w:tblGrid>
      <w:tr w14:paraId="6D00D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9945" w:type="dxa"/>
          </w:tcPr>
          <w:p w14:paraId="6A918B3E">
            <w:pPr>
              <w:spacing w:line="460" w:lineRule="exact"/>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bCs/>
                <w:color w:val="auto"/>
                <w:sz w:val="22"/>
                <w:szCs w:val="22"/>
                <w:highlight w:val="none"/>
              </w:rPr>
              <w:t>项目概况</w:t>
            </w:r>
          </w:p>
          <w:p w14:paraId="0224EE8C">
            <w:pPr>
              <w:spacing w:line="460" w:lineRule="exact"/>
              <w:ind w:firstLine="440" w:firstLineChars="200"/>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eastAsia="zh-CN"/>
              </w:rPr>
              <w:t>2025年布草洗涤服务</w:t>
            </w:r>
            <w:r>
              <w:rPr>
                <w:rFonts w:hint="eastAsia" w:ascii="新宋体" w:hAnsi="新宋体" w:eastAsia="新宋体" w:cs="新宋体"/>
                <w:b w:val="0"/>
                <w:bCs w:val="0"/>
                <w:color w:val="auto"/>
                <w:sz w:val="22"/>
                <w:szCs w:val="22"/>
                <w:highlight w:val="none"/>
              </w:rPr>
              <w:t>招标项目的潜在投标人应在</w:t>
            </w:r>
            <w:r>
              <w:rPr>
                <w:rFonts w:hint="eastAsia" w:ascii="新宋体" w:hAnsi="新宋体" w:eastAsia="新宋体" w:cs="新宋体"/>
                <w:b w:val="0"/>
                <w:bCs w:val="0"/>
                <w:color w:val="auto"/>
                <w:sz w:val="22"/>
                <w:szCs w:val="22"/>
                <w:highlight w:val="none"/>
                <w:lang w:eastAsia="zh-CN"/>
              </w:rPr>
              <w:t>政采云</w:t>
            </w:r>
            <w:r>
              <w:rPr>
                <w:rFonts w:hint="eastAsia" w:ascii="新宋体" w:hAnsi="新宋体" w:eastAsia="新宋体" w:cs="新宋体"/>
                <w:b w:val="0"/>
                <w:bCs w:val="0"/>
                <w:color w:val="auto"/>
                <w:sz w:val="22"/>
                <w:szCs w:val="22"/>
                <w:highlight w:val="none"/>
              </w:rPr>
              <w:t>平台(</w:t>
            </w:r>
            <w:r>
              <w:rPr>
                <w:rFonts w:hint="eastAsia" w:ascii="新宋体" w:hAnsi="新宋体" w:eastAsia="新宋体" w:cs="新宋体"/>
                <w:b w:val="0"/>
                <w:bCs w:val="0"/>
                <w:color w:val="auto"/>
                <w:sz w:val="22"/>
                <w:szCs w:val="22"/>
                <w:highlight w:val="none"/>
                <w:lang w:eastAsia="zh-CN"/>
              </w:rPr>
              <w:t>https://zfcg.czt.zj.gov.cn/</w:t>
            </w:r>
            <w:r>
              <w:rPr>
                <w:rFonts w:hint="eastAsia" w:ascii="新宋体" w:hAnsi="新宋体" w:eastAsia="新宋体" w:cs="新宋体"/>
                <w:b w:val="0"/>
                <w:bCs w:val="0"/>
                <w:color w:val="auto"/>
                <w:sz w:val="22"/>
                <w:szCs w:val="22"/>
                <w:highlight w:val="none"/>
              </w:rPr>
              <w:t>)线上获取招标文件，并于</w:t>
            </w:r>
            <w:r>
              <w:rPr>
                <w:rFonts w:hint="eastAsia" w:ascii="新宋体" w:hAnsi="新宋体" w:eastAsia="新宋体" w:cs="新宋体"/>
                <w:b w:val="0"/>
                <w:bCs w:val="0"/>
                <w:color w:val="auto"/>
                <w:sz w:val="22"/>
                <w:szCs w:val="22"/>
                <w:highlight w:val="none"/>
                <w:lang w:eastAsia="zh-CN"/>
              </w:rPr>
              <w:t>2025年04月24日</w:t>
            </w:r>
            <w:r>
              <w:rPr>
                <w:rFonts w:hint="eastAsia" w:ascii="新宋体" w:hAnsi="新宋体" w:eastAsia="新宋体" w:cs="新宋体"/>
                <w:b w:val="0"/>
                <w:bCs w:val="0"/>
                <w:color w:val="auto"/>
                <w:sz w:val="22"/>
                <w:szCs w:val="22"/>
                <w:highlight w:val="none"/>
                <w:lang w:val="en-US" w:eastAsia="zh-CN"/>
              </w:rPr>
              <w:t>14：30</w:t>
            </w:r>
            <w:r>
              <w:rPr>
                <w:rFonts w:hint="eastAsia" w:ascii="新宋体" w:hAnsi="新宋体" w:eastAsia="新宋体" w:cs="新宋体"/>
                <w:b w:val="0"/>
                <w:bCs w:val="0"/>
                <w:color w:val="auto"/>
                <w:sz w:val="22"/>
                <w:szCs w:val="22"/>
                <w:highlight w:val="none"/>
              </w:rPr>
              <w:t>（北京时间）前递交投标文件。</w:t>
            </w:r>
          </w:p>
        </w:tc>
      </w:tr>
    </w:tbl>
    <w:p w14:paraId="63E53F41">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一、项目基本情况</w:t>
      </w:r>
    </w:p>
    <w:p w14:paraId="755B329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rPr>
        <w:t>项目编号：</w:t>
      </w:r>
      <w:r>
        <w:rPr>
          <w:rFonts w:hint="eastAsia" w:ascii="新宋体" w:hAnsi="新宋体" w:eastAsia="新宋体" w:cs="新宋体"/>
          <w:b w:val="0"/>
          <w:bCs w:val="0"/>
          <w:color w:val="auto"/>
          <w:sz w:val="22"/>
          <w:szCs w:val="22"/>
          <w:highlight w:val="none"/>
          <w:lang w:eastAsia="zh-CN"/>
        </w:rPr>
        <w:t>WZLCZB（L）-2025-04100</w:t>
      </w:r>
    </w:p>
    <w:p w14:paraId="5ED6BA10">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rPr>
        <w:t>项目名称：</w:t>
      </w:r>
      <w:r>
        <w:rPr>
          <w:rFonts w:hint="eastAsia" w:ascii="新宋体" w:hAnsi="新宋体" w:eastAsia="新宋体" w:cs="新宋体"/>
          <w:b w:val="0"/>
          <w:bCs w:val="0"/>
          <w:color w:val="auto"/>
          <w:sz w:val="22"/>
          <w:szCs w:val="22"/>
          <w:highlight w:val="none"/>
          <w:lang w:eastAsia="zh-CN"/>
        </w:rPr>
        <w:t>2025年布草洗涤服务</w:t>
      </w:r>
    </w:p>
    <w:p w14:paraId="501984EB">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预算金额（元）：</w:t>
      </w:r>
      <w:r>
        <w:rPr>
          <w:rFonts w:hint="eastAsia" w:ascii="新宋体" w:hAnsi="新宋体" w:eastAsia="新宋体" w:cs="新宋体"/>
          <w:b w:val="0"/>
          <w:bCs w:val="0"/>
          <w:color w:val="auto"/>
          <w:sz w:val="22"/>
          <w:szCs w:val="22"/>
          <w:highlight w:val="none"/>
          <w:lang w:val="en-US" w:eastAsia="zh-CN"/>
        </w:rPr>
        <w:t>1400000</w:t>
      </w:r>
    </w:p>
    <w:p w14:paraId="531EEBE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最高限价（元）：</w:t>
      </w:r>
      <w:r>
        <w:rPr>
          <w:rFonts w:hint="eastAsia" w:ascii="新宋体" w:hAnsi="新宋体" w:eastAsia="新宋体" w:cs="新宋体"/>
          <w:b w:val="0"/>
          <w:bCs w:val="0"/>
          <w:color w:val="auto"/>
          <w:sz w:val="22"/>
          <w:szCs w:val="22"/>
          <w:highlight w:val="none"/>
          <w:lang w:val="en-US" w:eastAsia="zh-CN"/>
        </w:rPr>
        <w:t>1400000</w:t>
      </w:r>
    </w:p>
    <w:p w14:paraId="4DE2F4B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采购需求：</w:t>
      </w:r>
    </w:p>
    <w:p w14:paraId="594CC1D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p>
    <w:p w14:paraId="4B169F5A">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rPr>
        <w:t>标项名称</w:t>
      </w:r>
      <w:r>
        <w:rPr>
          <w:rFonts w:hint="eastAsia" w:ascii="新宋体" w:hAnsi="新宋体" w:eastAsia="新宋体" w:cs="新宋体"/>
          <w:b w:val="0"/>
          <w:bCs w:val="0"/>
          <w:color w:val="auto"/>
          <w:sz w:val="22"/>
          <w:szCs w:val="22"/>
          <w:highlight w:val="none"/>
          <w:lang w:eastAsia="zh-CN"/>
        </w:rPr>
        <w:t>：2025年布草洗涤服务</w:t>
      </w:r>
    </w:p>
    <w:p w14:paraId="5D13FE5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数量</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lang w:val="en-US" w:eastAsia="zh-CN"/>
        </w:rPr>
        <w:t>1项</w:t>
      </w:r>
    </w:p>
    <w:p w14:paraId="2715259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预算金额（元）：</w:t>
      </w:r>
      <w:r>
        <w:rPr>
          <w:rFonts w:hint="eastAsia" w:ascii="新宋体" w:hAnsi="新宋体" w:eastAsia="新宋体" w:cs="新宋体"/>
          <w:b w:val="0"/>
          <w:bCs w:val="0"/>
          <w:color w:val="auto"/>
          <w:sz w:val="22"/>
          <w:szCs w:val="22"/>
          <w:highlight w:val="none"/>
          <w:lang w:val="en-US" w:eastAsia="zh-CN"/>
        </w:rPr>
        <w:t>1400000</w:t>
      </w:r>
    </w:p>
    <w:p w14:paraId="06D0B231">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简要规格描述或项目基本概况介绍、用途：详见招标文件</w:t>
      </w:r>
    </w:p>
    <w:p w14:paraId="49E8C2B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备注：</w:t>
      </w:r>
    </w:p>
    <w:p w14:paraId="4B94D496">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p>
    <w:p w14:paraId="39BD93D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合同履约期限：标项 1，详见招标文件</w:t>
      </w:r>
    </w:p>
    <w:p w14:paraId="2A312D8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本项目（</w:t>
      </w:r>
      <w:r>
        <w:rPr>
          <w:rFonts w:hint="eastAsia" w:ascii="新宋体" w:hAnsi="新宋体" w:eastAsia="新宋体" w:cs="新宋体"/>
          <w:b w:val="0"/>
          <w:bCs w:val="0"/>
          <w:color w:val="auto"/>
          <w:sz w:val="22"/>
          <w:szCs w:val="22"/>
          <w:highlight w:val="none"/>
          <w:lang w:val="en-US" w:eastAsia="zh-CN"/>
        </w:rPr>
        <w:t>是</w:t>
      </w:r>
      <w:r>
        <w:rPr>
          <w:rFonts w:hint="eastAsia" w:ascii="新宋体" w:hAnsi="新宋体" w:eastAsia="新宋体" w:cs="新宋体"/>
          <w:b w:val="0"/>
          <w:bCs w:val="0"/>
          <w:color w:val="auto"/>
          <w:sz w:val="22"/>
          <w:szCs w:val="22"/>
          <w:highlight w:val="none"/>
        </w:rPr>
        <w:t>）接受联合体投标。</w:t>
      </w:r>
    </w:p>
    <w:p w14:paraId="21E4A5A0">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二、申请人的资格要求</w:t>
      </w:r>
    </w:p>
    <w:p w14:paraId="2D7830B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1.满足《中华人民共和国政府采购法》第二十二条规定；未被“信用中国”（www.creditchina.gov.cn）、中国政府采购网（www.ccgp.gov.cn）列入失信被执行人、重大税收违法案件当事人名单、政府采购严重违法失信行为记录名单。</w:t>
      </w:r>
    </w:p>
    <w:p w14:paraId="5987E2C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2.落实政府采购政策需满足的资格要求：标项1：本项目为专门面向中小企业采购的项目，供应商应为中小微企业、监狱企业、残疾人福利性单位</w:t>
      </w:r>
    </w:p>
    <w:p w14:paraId="43BE2A5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3.本项目的特定资格要求：</w:t>
      </w:r>
      <w:r>
        <w:rPr>
          <w:rFonts w:hint="eastAsia" w:ascii="新宋体" w:hAnsi="新宋体" w:eastAsia="新宋体" w:cs="新宋体"/>
          <w:b w:val="0"/>
          <w:bCs w:val="0"/>
          <w:color w:val="auto"/>
          <w:sz w:val="22"/>
          <w:szCs w:val="22"/>
          <w:highlight w:val="none"/>
          <w:lang w:val="en-US" w:eastAsia="zh-CN"/>
        </w:rPr>
        <w:t>无</w:t>
      </w:r>
    </w:p>
    <w:p w14:paraId="6A58BD8F">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三、获取招标文件</w:t>
      </w:r>
    </w:p>
    <w:p w14:paraId="7AC51F04">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时间：</w:t>
      </w:r>
      <w:r>
        <w:rPr>
          <w:rFonts w:hint="eastAsia" w:ascii="新宋体" w:hAnsi="新宋体" w:eastAsia="新宋体" w:cs="新宋体"/>
          <w:b w:val="0"/>
          <w:bCs w:val="0"/>
          <w:color w:val="auto"/>
          <w:sz w:val="22"/>
          <w:szCs w:val="22"/>
          <w:highlight w:val="none"/>
          <w:lang w:val="en-US" w:eastAsia="zh-CN"/>
        </w:rPr>
        <w:t>/</w:t>
      </w:r>
      <w:r>
        <w:rPr>
          <w:rFonts w:hint="eastAsia" w:ascii="新宋体" w:hAnsi="新宋体" w:eastAsia="新宋体" w:cs="新宋体"/>
          <w:b w:val="0"/>
          <w:bCs w:val="0"/>
          <w:color w:val="auto"/>
          <w:sz w:val="22"/>
          <w:szCs w:val="22"/>
          <w:highlight w:val="none"/>
        </w:rPr>
        <w:t>至</w:t>
      </w:r>
      <w:r>
        <w:rPr>
          <w:rFonts w:hint="eastAsia" w:ascii="新宋体" w:hAnsi="新宋体" w:eastAsia="新宋体" w:cs="新宋体"/>
          <w:b w:val="0"/>
          <w:bCs w:val="0"/>
          <w:color w:val="auto"/>
          <w:sz w:val="22"/>
          <w:szCs w:val="22"/>
          <w:highlight w:val="none"/>
          <w:lang w:eastAsia="zh-CN"/>
        </w:rPr>
        <w:t>2025年04月24日</w:t>
      </w:r>
      <w:r>
        <w:rPr>
          <w:rFonts w:hint="eastAsia" w:ascii="新宋体" w:hAnsi="新宋体" w:eastAsia="新宋体" w:cs="新宋体"/>
          <w:b w:val="0"/>
          <w:bCs w:val="0"/>
          <w:color w:val="auto"/>
          <w:sz w:val="22"/>
          <w:szCs w:val="22"/>
          <w:highlight w:val="none"/>
        </w:rPr>
        <w:t>，每天上午00</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00至12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00，下午12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00至23</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59（北京时间，法定节假日除外）</w:t>
      </w:r>
    </w:p>
    <w:p w14:paraId="524F683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地点：</w:t>
      </w:r>
      <w:r>
        <w:rPr>
          <w:rFonts w:hint="eastAsia" w:ascii="新宋体" w:hAnsi="新宋体" w:eastAsia="新宋体" w:cs="新宋体"/>
          <w:b w:val="0"/>
          <w:bCs w:val="0"/>
          <w:color w:val="auto"/>
          <w:sz w:val="22"/>
          <w:szCs w:val="22"/>
          <w:highlight w:val="none"/>
          <w:lang w:eastAsia="zh-CN"/>
        </w:rPr>
        <w:t>政采云</w:t>
      </w:r>
      <w:r>
        <w:rPr>
          <w:rFonts w:hint="eastAsia" w:ascii="新宋体" w:hAnsi="新宋体" w:eastAsia="新宋体" w:cs="新宋体"/>
          <w:b w:val="0"/>
          <w:bCs w:val="0"/>
          <w:color w:val="auto"/>
          <w:sz w:val="22"/>
          <w:szCs w:val="22"/>
          <w:highlight w:val="none"/>
        </w:rPr>
        <w:t>平台(</w:t>
      </w:r>
      <w:r>
        <w:rPr>
          <w:rFonts w:hint="eastAsia" w:ascii="新宋体" w:hAnsi="新宋体" w:eastAsia="新宋体" w:cs="新宋体"/>
          <w:b w:val="0"/>
          <w:bCs w:val="0"/>
          <w:color w:val="auto"/>
          <w:sz w:val="22"/>
          <w:szCs w:val="22"/>
          <w:highlight w:val="none"/>
          <w:lang w:eastAsia="zh-CN"/>
        </w:rPr>
        <w:t>https://zfcg.czt.zj.gov.cn/</w:t>
      </w:r>
      <w:r>
        <w:rPr>
          <w:rFonts w:hint="eastAsia" w:ascii="新宋体" w:hAnsi="新宋体" w:eastAsia="新宋体" w:cs="新宋体"/>
          <w:b w:val="0"/>
          <w:bCs w:val="0"/>
          <w:color w:val="auto"/>
          <w:sz w:val="22"/>
          <w:szCs w:val="22"/>
          <w:highlight w:val="none"/>
        </w:rPr>
        <w:t>)线上</w:t>
      </w:r>
    </w:p>
    <w:p w14:paraId="4CF6EE5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方式：供应商</w:t>
      </w:r>
      <w:r>
        <w:rPr>
          <w:rFonts w:hint="eastAsia" w:ascii="新宋体" w:hAnsi="新宋体" w:eastAsia="新宋体" w:cs="新宋体"/>
          <w:b w:val="0"/>
          <w:bCs w:val="0"/>
          <w:color w:val="auto"/>
          <w:sz w:val="22"/>
          <w:szCs w:val="22"/>
          <w:highlight w:val="none"/>
          <w:lang w:eastAsia="zh-CN"/>
        </w:rPr>
        <w:t>政采云</w:t>
      </w:r>
      <w:r>
        <w:rPr>
          <w:rFonts w:hint="eastAsia" w:ascii="新宋体" w:hAnsi="新宋体" w:eastAsia="新宋体" w:cs="新宋体"/>
          <w:b w:val="0"/>
          <w:bCs w:val="0"/>
          <w:color w:val="auto"/>
          <w:sz w:val="22"/>
          <w:szCs w:val="22"/>
          <w:highlight w:val="none"/>
        </w:rPr>
        <w:t>平台</w:t>
      </w:r>
      <w:r>
        <w:rPr>
          <w:rFonts w:hint="eastAsia" w:ascii="新宋体" w:hAnsi="新宋体" w:eastAsia="新宋体" w:cs="新宋体"/>
          <w:b w:val="0"/>
          <w:bCs w:val="0"/>
          <w:color w:val="auto"/>
          <w:sz w:val="22"/>
          <w:szCs w:val="22"/>
          <w:highlight w:val="none"/>
          <w:lang w:eastAsia="zh-CN"/>
        </w:rPr>
        <w:t>https://zfcg.czt.zj.gov.cn/</w:t>
      </w:r>
      <w:r>
        <w:rPr>
          <w:rFonts w:hint="eastAsia" w:ascii="新宋体" w:hAnsi="新宋体" w:eastAsia="新宋体" w:cs="新宋体"/>
          <w:b w:val="0"/>
          <w:bCs w:val="0"/>
          <w:color w:val="auto"/>
          <w:sz w:val="22"/>
          <w:szCs w:val="22"/>
          <w:highlight w:val="none"/>
        </w:rPr>
        <w:t>在线申请获取</w:t>
      </w:r>
      <w:r>
        <w:rPr>
          <w:rFonts w:hint="eastAsia" w:ascii="新宋体" w:hAnsi="新宋体" w:eastAsia="新宋体" w:cs="新宋体"/>
          <w:b w:val="0"/>
          <w:bCs w:val="0"/>
          <w:color w:val="auto"/>
          <w:sz w:val="22"/>
          <w:szCs w:val="22"/>
          <w:highlight w:val="none"/>
          <w:lang w:val="en-US" w:eastAsia="zh-CN"/>
        </w:rPr>
        <w:t>招标</w:t>
      </w:r>
      <w:r>
        <w:rPr>
          <w:rFonts w:hint="eastAsia" w:ascii="新宋体" w:hAnsi="新宋体" w:eastAsia="新宋体" w:cs="新宋体"/>
          <w:b w:val="0"/>
          <w:bCs w:val="0"/>
          <w:color w:val="auto"/>
          <w:sz w:val="22"/>
          <w:szCs w:val="22"/>
          <w:highlight w:val="none"/>
        </w:rPr>
        <w:t>文件</w:t>
      </w:r>
    </w:p>
    <w:p w14:paraId="1B6DA5AC">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售价（元）：0</w:t>
      </w:r>
    </w:p>
    <w:p w14:paraId="3E4716F1">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四、提交投标文件截止时间、开标时间和地点</w:t>
      </w:r>
    </w:p>
    <w:p w14:paraId="2485AA85">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提交投标文件截止时间：</w:t>
      </w:r>
      <w:r>
        <w:rPr>
          <w:rFonts w:hint="eastAsia" w:ascii="新宋体" w:hAnsi="新宋体" w:eastAsia="新宋体" w:cs="新宋体"/>
          <w:b w:val="0"/>
          <w:bCs w:val="0"/>
          <w:color w:val="auto"/>
          <w:sz w:val="22"/>
          <w:szCs w:val="22"/>
          <w:highlight w:val="none"/>
          <w:lang w:eastAsia="zh-CN"/>
        </w:rPr>
        <w:t>2025年04月24日</w:t>
      </w:r>
      <w:r>
        <w:rPr>
          <w:rFonts w:hint="eastAsia" w:ascii="新宋体" w:hAnsi="新宋体" w:eastAsia="新宋体" w:cs="新宋体"/>
          <w:b w:val="0"/>
          <w:bCs w:val="0"/>
          <w:color w:val="auto"/>
          <w:sz w:val="22"/>
          <w:szCs w:val="22"/>
          <w:highlight w:val="none"/>
          <w:lang w:val="en-US" w:eastAsia="zh-CN"/>
        </w:rPr>
        <w:t>14：30</w:t>
      </w:r>
      <w:r>
        <w:rPr>
          <w:rFonts w:hint="eastAsia" w:ascii="新宋体" w:hAnsi="新宋体" w:eastAsia="新宋体" w:cs="新宋体"/>
          <w:b w:val="0"/>
          <w:bCs w:val="0"/>
          <w:color w:val="auto"/>
          <w:sz w:val="22"/>
          <w:szCs w:val="22"/>
          <w:highlight w:val="none"/>
        </w:rPr>
        <w:t>（北京时间）</w:t>
      </w:r>
    </w:p>
    <w:p w14:paraId="323DD754">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投标地点（网址）：请登录</w:t>
      </w:r>
      <w:r>
        <w:rPr>
          <w:rFonts w:hint="eastAsia" w:ascii="新宋体" w:hAnsi="新宋体" w:eastAsia="新宋体" w:cs="新宋体"/>
          <w:b w:val="0"/>
          <w:bCs w:val="0"/>
          <w:color w:val="auto"/>
          <w:sz w:val="22"/>
          <w:szCs w:val="22"/>
          <w:highlight w:val="none"/>
          <w:lang w:eastAsia="zh-CN"/>
        </w:rPr>
        <w:t>政采云</w:t>
      </w:r>
      <w:r>
        <w:rPr>
          <w:rFonts w:hint="eastAsia" w:ascii="新宋体" w:hAnsi="新宋体" w:eastAsia="新宋体" w:cs="新宋体"/>
          <w:b w:val="0"/>
          <w:bCs w:val="0"/>
          <w:color w:val="auto"/>
          <w:sz w:val="22"/>
          <w:szCs w:val="22"/>
          <w:highlight w:val="none"/>
        </w:rPr>
        <w:t>投标客户端投标</w:t>
      </w:r>
    </w:p>
    <w:p w14:paraId="54ABB31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开标时间：</w:t>
      </w:r>
      <w:r>
        <w:rPr>
          <w:rFonts w:hint="eastAsia" w:ascii="新宋体" w:hAnsi="新宋体" w:eastAsia="新宋体" w:cs="新宋体"/>
          <w:b w:val="0"/>
          <w:bCs w:val="0"/>
          <w:color w:val="auto"/>
          <w:sz w:val="22"/>
          <w:szCs w:val="22"/>
          <w:highlight w:val="none"/>
          <w:lang w:eastAsia="zh-CN"/>
        </w:rPr>
        <w:t>2025年04月24日</w:t>
      </w:r>
      <w:r>
        <w:rPr>
          <w:rFonts w:hint="eastAsia" w:ascii="新宋体" w:hAnsi="新宋体" w:eastAsia="新宋体" w:cs="新宋体"/>
          <w:b w:val="0"/>
          <w:bCs w:val="0"/>
          <w:color w:val="auto"/>
          <w:sz w:val="22"/>
          <w:szCs w:val="22"/>
          <w:highlight w:val="none"/>
          <w:lang w:val="en-US" w:eastAsia="zh-CN"/>
        </w:rPr>
        <w:t>14：30</w:t>
      </w:r>
    </w:p>
    <w:p w14:paraId="163160D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开标地点：</w:t>
      </w:r>
      <w:r>
        <w:rPr>
          <w:rFonts w:hint="eastAsia" w:ascii="新宋体" w:hAnsi="新宋体" w:eastAsia="新宋体" w:cs="新宋体"/>
          <w:color w:val="auto"/>
          <w:sz w:val="22"/>
          <w:szCs w:val="22"/>
          <w:highlight w:val="none"/>
          <w:lang w:eastAsia="zh-CN"/>
        </w:rPr>
        <w:t>政采云平台</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https://zfcg.czt.zj.gov.cn/</w:t>
      </w:r>
      <w:r>
        <w:rPr>
          <w:rFonts w:hint="eastAsia" w:ascii="新宋体" w:hAnsi="新宋体" w:eastAsia="新宋体" w:cs="新宋体"/>
          <w:color w:val="auto"/>
          <w:sz w:val="22"/>
          <w:szCs w:val="22"/>
          <w:highlight w:val="none"/>
        </w:rPr>
        <w:t>）</w:t>
      </w:r>
    </w:p>
    <w:p w14:paraId="4CEF9FC7">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五、公告期限</w:t>
      </w:r>
    </w:p>
    <w:p w14:paraId="4BB43FA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自本公告发布之日起5个工作日。</w:t>
      </w:r>
    </w:p>
    <w:p w14:paraId="66D9CF63">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六、其他补充事宜</w:t>
      </w:r>
    </w:p>
    <w:p w14:paraId="08ACDBB8">
      <w:pPr>
        <w:pStyle w:val="49"/>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1.《浙江省财政厅关于进一步发挥政府采购政策功能全力推动经济稳进提质的通知》 （浙财采监（2022）3号）、《浙江省财政厅关于进一步促进政府采购公平竞争打造最优营商环境的通知》（浙财采监（2021）22号）已分别于2022年1月29日和2022年2月1日开始实施，此前有关规定与上述文件内容不一致的，按上述文件要求执行。</w:t>
      </w:r>
    </w:p>
    <w:p w14:paraId="32F50854">
      <w:pPr>
        <w:pStyle w:val="49"/>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政府服务网-政府采购投诉处理-在线办理。注意：需在线质疑后才可在线投诉，并电话告知相关采购人、代理机构、财政部门。</w:t>
      </w:r>
    </w:p>
    <w:p w14:paraId="15D5A412">
      <w:pPr>
        <w:pStyle w:val="49"/>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供应商认为采购文件使自己的权益受到损害的，可以自获取采购文件之日或者采购公告期限届满之日（公告期限届满后获取采购文件的，以公告期限届满之日为准）起7个工作日内，对采购文件需求的以书面形式向采购人提出质疑，对其他内容的以书面形式向采购人和采购代理机构提出质疑。质疑供应商对采购人、采购代理机构的答复不满意或者采购人、采购代理机构未在规定的时间内作出答复的，可以在答复期满后十五个工作日内向同级政府采购监督管理部门投诉。质疑函范本、投诉书范本请到浙江政府采购网下载专区下载。</w:t>
      </w:r>
    </w:p>
    <w:p w14:paraId="654F3B1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.其他事项：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一</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电子招投标的说明：①电子招投标：本项目以数据电文形式，依托“政府采购云平台（www.zcygov.cn）”进行招投标活动，不接受纸质投标文件；②投标准备：注册账号--点击“商家入驻”，进行政府采购供应商资料填写；申领CA数字证书---申领流程详见“浙江政府采购网-下载专区-电子交易客户端-CA驱动和申领流程”；安装“政采云电子交易客户端”----前往“浙江政府采购网-下载专区-电子交易客户端”进行下载并安装；③</w:t>
      </w:r>
      <w:r>
        <w:rPr>
          <w:rFonts w:hint="eastAsia" w:ascii="新宋体" w:hAnsi="新宋体" w:eastAsia="新宋体" w:cs="新宋体"/>
          <w:color w:val="auto"/>
          <w:sz w:val="22"/>
          <w:szCs w:val="22"/>
          <w:highlight w:val="none"/>
          <w:lang w:eastAsia="zh-CN"/>
        </w:rPr>
        <w:t>采购文件</w:t>
      </w:r>
      <w:r>
        <w:rPr>
          <w:rFonts w:hint="eastAsia" w:ascii="新宋体" w:hAnsi="新宋体" w:eastAsia="新宋体" w:cs="新宋体"/>
          <w:color w:val="auto"/>
          <w:sz w:val="22"/>
          <w:szCs w:val="22"/>
          <w:highlight w:val="none"/>
        </w:rPr>
        <w:t>的获取：使用账号登录或者使用CA登录政采云平台；进入“项目采购”应用，在获取采购文件菜单中选择项目，获取</w:t>
      </w:r>
      <w:r>
        <w:rPr>
          <w:rFonts w:hint="eastAsia" w:ascii="新宋体" w:hAnsi="新宋体" w:eastAsia="新宋体" w:cs="新宋体"/>
          <w:color w:val="auto"/>
          <w:sz w:val="22"/>
          <w:szCs w:val="22"/>
          <w:highlight w:val="none"/>
          <w:lang w:eastAsia="zh-CN"/>
        </w:rPr>
        <w:t>采购文件</w:t>
      </w:r>
      <w:r>
        <w:rPr>
          <w:rFonts w:hint="eastAsia" w:ascii="新宋体" w:hAnsi="新宋体" w:eastAsia="新宋体" w:cs="新宋体"/>
          <w:color w:val="auto"/>
          <w:sz w:val="22"/>
          <w:szCs w:val="22"/>
          <w:highlight w:val="none"/>
        </w:rPr>
        <w:t>；④投标文件的制作：在“政采云电子交易客户端”中完成“填写基本信息”、“导入投标文件”、“标书关联”、“标书检查”、“电子签名”、“生成电子标书”等操作；⑤投标文件的传输递交：投标人在投标截止时间前将加密的投标文件上传至政府采购云平台；⑥投标文件的解密：投标人按照平台提示和</w:t>
      </w:r>
      <w:r>
        <w:rPr>
          <w:rFonts w:hint="eastAsia" w:ascii="新宋体" w:hAnsi="新宋体" w:eastAsia="新宋体" w:cs="新宋体"/>
          <w:color w:val="auto"/>
          <w:sz w:val="22"/>
          <w:szCs w:val="22"/>
          <w:highlight w:val="none"/>
          <w:lang w:eastAsia="zh-CN"/>
        </w:rPr>
        <w:t>采购文件</w:t>
      </w:r>
      <w:r>
        <w:rPr>
          <w:rFonts w:hint="eastAsia" w:ascii="新宋体" w:hAnsi="新宋体" w:eastAsia="新宋体" w:cs="新宋体"/>
          <w:color w:val="auto"/>
          <w:sz w:val="22"/>
          <w:szCs w:val="22"/>
          <w:highlight w:val="none"/>
        </w:rPr>
        <w:t>的规定在半小时内完成在线解密；⑦具体操作指南：详见政采云平台“服务中心-帮助文档-项目采购-操作流程-电子招投标-政府采购项目电子交易管理操作指南-供应商”：浙江省政府采购项目政采云平台学习专题https://edu.zcygov.cn/luban/e-biding。（</w:t>
      </w:r>
      <w:r>
        <w:rPr>
          <w:rFonts w:hint="eastAsia" w:ascii="新宋体" w:hAnsi="新宋体" w:eastAsia="新宋体" w:cs="新宋体"/>
          <w:color w:val="auto"/>
          <w:sz w:val="22"/>
          <w:szCs w:val="22"/>
          <w:highlight w:val="none"/>
          <w:lang w:val="en-US" w:eastAsia="zh-CN"/>
        </w:rPr>
        <w:t>二</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采购</w:t>
      </w:r>
      <w:r>
        <w:rPr>
          <w:rFonts w:hint="eastAsia" w:ascii="新宋体" w:hAnsi="新宋体" w:eastAsia="新宋体" w:cs="新宋体"/>
          <w:color w:val="auto"/>
          <w:sz w:val="22"/>
          <w:szCs w:val="22"/>
          <w:highlight w:val="none"/>
        </w:rPr>
        <w:t>公告附件的采购文件仅供阅览使用，未按照本公告规定的方式获取采购文件的潜在供应商提起的质疑采购组织机构将不予受理、答复。</w:t>
      </w:r>
    </w:p>
    <w:p w14:paraId="1DD349A2">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七、对本次采购提出询问，请按以下方式联系</w:t>
      </w:r>
    </w:p>
    <w:p w14:paraId="348ED18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招标人</w:t>
      </w:r>
      <w:r>
        <w:rPr>
          <w:rFonts w:hint="eastAsia" w:ascii="新宋体" w:hAnsi="新宋体" w:eastAsia="新宋体" w:cs="新宋体"/>
          <w:color w:val="auto"/>
          <w:sz w:val="22"/>
          <w:szCs w:val="22"/>
          <w:highlight w:val="none"/>
        </w:rPr>
        <w:t>信息</w:t>
      </w:r>
    </w:p>
    <w:p w14:paraId="12A378A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w:t>
      </w:r>
      <w:r>
        <w:rPr>
          <w:rFonts w:hint="eastAsia" w:ascii="新宋体" w:hAnsi="新宋体" w:eastAsia="新宋体" w:cs="新宋体"/>
          <w:color w:val="auto"/>
          <w:sz w:val="22"/>
          <w:szCs w:val="22"/>
          <w:highlight w:val="none"/>
          <w:lang w:eastAsia="zh-CN"/>
        </w:rPr>
        <w:t>温州市第七人民医院</w:t>
      </w:r>
    </w:p>
    <w:p w14:paraId="3500C2A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温州市瓯海区学士前路</w:t>
      </w:r>
    </w:p>
    <w:p w14:paraId="25ABE78C">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768CF6E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项目联系人（询问）：王女士</w:t>
      </w:r>
    </w:p>
    <w:p w14:paraId="6B04031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项目联系方式（询问）：0577-8987015</w:t>
      </w:r>
      <w:r>
        <w:rPr>
          <w:rFonts w:hint="eastAsia" w:ascii="新宋体" w:hAnsi="新宋体" w:eastAsia="新宋体" w:cs="新宋体"/>
          <w:color w:val="auto"/>
          <w:sz w:val="22"/>
          <w:szCs w:val="22"/>
          <w:highlight w:val="none"/>
          <w:lang w:val="en-US" w:eastAsia="zh-CN"/>
        </w:rPr>
        <w:t>3</w:t>
      </w:r>
    </w:p>
    <w:p w14:paraId="2E1D9FD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质疑联系人：王女士</w:t>
      </w:r>
    </w:p>
    <w:p w14:paraId="4D2A386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质疑联系方式：0577-8987015</w:t>
      </w:r>
      <w:r>
        <w:rPr>
          <w:rFonts w:hint="eastAsia" w:ascii="新宋体" w:hAnsi="新宋体" w:eastAsia="新宋体" w:cs="新宋体"/>
          <w:color w:val="auto"/>
          <w:sz w:val="22"/>
          <w:szCs w:val="22"/>
          <w:highlight w:val="none"/>
          <w:lang w:val="en-US" w:eastAsia="zh-CN"/>
        </w:rPr>
        <w:t>3</w:t>
      </w:r>
    </w:p>
    <w:p w14:paraId="0207370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p>
    <w:p w14:paraId="5C3457C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招标</w:t>
      </w:r>
      <w:r>
        <w:rPr>
          <w:rFonts w:hint="eastAsia" w:ascii="新宋体" w:hAnsi="新宋体" w:eastAsia="新宋体" w:cs="新宋体"/>
          <w:color w:val="auto"/>
          <w:sz w:val="22"/>
          <w:szCs w:val="22"/>
          <w:highlight w:val="none"/>
        </w:rPr>
        <w:t>代理机构信息</w:t>
      </w:r>
    </w:p>
    <w:p w14:paraId="6CE95F4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称：温州历程招标有限公司</w:t>
      </w:r>
    </w:p>
    <w:p w14:paraId="1311815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温州市鹿城区南汇街道勤民路鹿城壹号18幢803室</w:t>
      </w:r>
    </w:p>
    <w:p w14:paraId="30A4AD8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76AD2A2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项目联系人（询问）：郑永强</w:t>
      </w:r>
    </w:p>
    <w:p w14:paraId="1A33CB1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项目联系方式（询问）：</w:t>
      </w:r>
      <w:bookmarkStart w:id="61" w:name="_GoBack"/>
      <w:r>
        <w:rPr>
          <w:rFonts w:hint="eastAsia" w:ascii="新宋体" w:hAnsi="新宋体" w:eastAsia="新宋体" w:cs="新宋体"/>
          <w:color w:val="auto"/>
          <w:sz w:val="22"/>
          <w:szCs w:val="22"/>
          <w:highlight w:val="none"/>
        </w:rPr>
        <w:t>0577-89887255、13757727199</w:t>
      </w:r>
      <w:bookmarkEnd w:id="61"/>
    </w:p>
    <w:p w14:paraId="28BDB25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质疑联系人：肖忠文</w:t>
      </w:r>
    </w:p>
    <w:p w14:paraId="5C5D6595">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质疑联系方式：0577-89887322</w:t>
      </w:r>
    </w:p>
    <w:p w14:paraId="4687376F">
      <w:pPr>
        <w:pStyle w:val="49"/>
        <w:spacing w:before="0" w:beforeAutospacing="0" w:after="0" w:afterAutospacing="0" w:line="460" w:lineRule="exact"/>
        <w:ind w:firstLine="440" w:firstLineChars="200"/>
        <w:rPr>
          <w:rFonts w:hint="eastAsia" w:ascii="新宋体" w:hAnsi="新宋体" w:eastAsia="新宋体" w:cs="新宋体"/>
          <w:color w:val="auto"/>
          <w:sz w:val="22"/>
          <w:szCs w:val="22"/>
          <w:highlight w:val="none"/>
        </w:rPr>
      </w:pPr>
    </w:p>
    <w:p w14:paraId="1C08C65C">
      <w:pPr>
        <w:pStyle w:val="49"/>
        <w:spacing w:before="0" w:beforeAutospacing="0" w:after="0" w:afterAutospacing="0"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3.同级政府采购监督管理部门</w:t>
      </w:r>
    </w:p>
    <w:p w14:paraId="3DCA0793">
      <w:pPr>
        <w:pStyle w:val="49"/>
        <w:spacing w:before="0" w:beforeAutospacing="0" w:after="0" w:afterAutospacing="0"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称：</w:t>
      </w:r>
      <w:r>
        <w:rPr>
          <w:rFonts w:hint="eastAsia" w:ascii="新宋体" w:hAnsi="新宋体" w:eastAsia="新宋体" w:cs="新宋体"/>
          <w:color w:val="auto"/>
          <w:sz w:val="22"/>
          <w:szCs w:val="22"/>
          <w:highlight w:val="none"/>
          <w:lang w:val="en-US" w:eastAsia="zh-CN"/>
        </w:rPr>
        <w:t>温州市</w:t>
      </w:r>
      <w:r>
        <w:rPr>
          <w:rFonts w:hint="eastAsia" w:ascii="新宋体" w:hAnsi="新宋体" w:eastAsia="新宋体" w:cs="新宋体"/>
          <w:color w:val="auto"/>
          <w:sz w:val="22"/>
          <w:szCs w:val="22"/>
          <w:highlight w:val="none"/>
        </w:rPr>
        <w:t>财政局（浙江省政府采购行政裁决服务中心（温州））</w:t>
      </w:r>
    </w:p>
    <w:p w14:paraId="034C15CE">
      <w:pPr>
        <w:pStyle w:val="49"/>
        <w:spacing w:before="0" w:beforeAutospacing="0" w:after="0" w:afterAutospacing="0"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址：温州市鹿城区滨江街道瓯江路展银大厦1606室</w:t>
      </w:r>
    </w:p>
    <w:p w14:paraId="45D5B048">
      <w:pPr>
        <w:pStyle w:val="49"/>
        <w:spacing w:before="0" w:beforeAutospacing="0" w:after="0" w:afterAutospacing="0"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真：/</w:t>
      </w:r>
    </w:p>
    <w:p w14:paraId="759D1AA3">
      <w:pPr>
        <w:pStyle w:val="49"/>
        <w:spacing w:before="0" w:beforeAutospacing="0" w:after="0" w:afterAutospacing="0"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联系人：李老师、王老师</w:t>
      </w:r>
    </w:p>
    <w:p w14:paraId="7A156E04">
      <w:pPr>
        <w:pStyle w:val="49"/>
        <w:spacing w:before="0" w:beforeAutospacing="0" w:after="0" w:afterAutospacing="0"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szCs w:val="22"/>
          <w:highlight w:val="none"/>
        </w:rPr>
        <w:t>监督投诉电话：0577-88501561、0577-85501562</w:t>
      </w:r>
    </w:p>
    <w:p w14:paraId="4FA98666">
      <w:pPr>
        <w:keepNext w:val="0"/>
        <w:keepLines w:val="0"/>
        <w:pageBreakBefore w:val="0"/>
        <w:tabs>
          <w:tab w:val="left" w:pos="360"/>
        </w:tabs>
        <w:kinsoku/>
        <w:wordWrap/>
        <w:overflowPunct/>
        <w:topLinePunct w:val="0"/>
        <w:autoSpaceDE/>
        <w:autoSpaceDN/>
        <w:bidi w:val="0"/>
        <w:adjustRightInd/>
        <w:spacing w:line="460" w:lineRule="exact"/>
        <w:ind w:firstLine="7920" w:firstLineChars="3600"/>
        <w:jc w:val="right"/>
        <w:textAlignment w:val="auto"/>
        <w:rPr>
          <w:rFonts w:hint="eastAsia" w:ascii="新宋体" w:hAnsi="新宋体" w:eastAsia="新宋体" w:cs="新宋体"/>
          <w:color w:val="auto"/>
          <w:sz w:val="22"/>
          <w:szCs w:val="22"/>
          <w:highlight w:val="none"/>
        </w:rPr>
      </w:pPr>
    </w:p>
    <w:p w14:paraId="5E43DA40">
      <w:pPr>
        <w:ind w:firstLine="420" w:firstLineChars="200"/>
        <w:rPr>
          <w:rFonts w:hint="eastAsia" w:ascii="新宋体" w:hAnsi="新宋体" w:eastAsia="新宋体" w:cs="新宋体"/>
          <w:color w:val="auto"/>
          <w:highlight w:val="none"/>
        </w:rPr>
      </w:pPr>
      <w:r>
        <w:rPr>
          <w:rFonts w:hint="eastAsia" w:ascii="新宋体" w:hAnsi="新宋体" w:eastAsia="新宋体" w:cs="新宋体"/>
          <w:color w:val="auto"/>
          <w:highlight w:val="none"/>
        </w:rPr>
        <w:t>若对项目采购电子交易系统操作有疑问，可登录政采云（https://www.zcygov.cn/），点击右侧咨询小采，获取采小蜜智能服务管家帮助，或拨打政采云服务热线95763获取热线服务帮助。</w:t>
      </w:r>
    </w:p>
    <w:p w14:paraId="77474B49">
      <w:pPr>
        <w:ind w:firstLine="420" w:firstLineChars="200"/>
        <w:rPr>
          <w:rFonts w:hint="eastAsia" w:ascii="新宋体" w:hAnsi="新宋体" w:eastAsia="新宋体" w:cs="新宋体"/>
          <w:color w:val="auto"/>
          <w:highlight w:val="none"/>
        </w:rPr>
      </w:pPr>
      <w:r>
        <w:rPr>
          <w:rFonts w:hint="eastAsia" w:ascii="新宋体" w:hAnsi="新宋体" w:eastAsia="新宋体" w:cs="新宋体"/>
          <w:color w:val="auto"/>
          <w:highlight w:val="none"/>
        </w:rPr>
        <w:t>CA问题联系电话（人工）：汇信CA 400-888-4636；天谷CA 400-087-8198。</w:t>
      </w:r>
    </w:p>
    <w:p w14:paraId="02FE5026">
      <w:pPr>
        <w:keepNext w:val="0"/>
        <w:keepLines w:val="0"/>
        <w:pageBreakBefore w:val="0"/>
        <w:tabs>
          <w:tab w:val="left" w:pos="360"/>
        </w:tabs>
        <w:kinsoku/>
        <w:wordWrap/>
        <w:overflowPunct/>
        <w:topLinePunct w:val="0"/>
        <w:autoSpaceDE/>
        <w:autoSpaceDN/>
        <w:bidi w:val="0"/>
        <w:adjustRightInd/>
        <w:spacing w:line="460" w:lineRule="exact"/>
        <w:ind w:firstLine="7920" w:firstLineChars="3600"/>
        <w:jc w:val="right"/>
        <w:textAlignment w:val="auto"/>
        <w:rPr>
          <w:rFonts w:hint="eastAsia" w:ascii="新宋体" w:hAnsi="新宋体" w:eastAsia="新宋体" w:cs="新宋体"/>
          <w:color w:val="auto"/>
          <w:sz w:val="22"/>
          <w:szCs w:val="22"/>
          <w:highlight w:val="none"/>
        </w:rPr>
      </w:pPr>
    </w:p>
    <w:p w14:paraId="62FB4C9D">
      <w:pPr>
        <w:rPr>
          <w:rFonts w:hint="eastAsia" w:ascii="新宋体" w:hAnsi="新宋体" w:eastAsia="新宋体" w:cs="新宋体"/>
          <w:color w:val="auto"/>
          <w:highlight w:val="none"/>
        </w:rPr>
      </w:pPr>
    </w:p>
    <w:p w14:paraId="76BD94B8">
      <w:pPr>
        <w:pStyle w:val="23"/>
        <w:rPr>
          <w:rFonts w:hint="eastAsia" w:ascii="新宋体" w:hAnsi="新宋体" w:eastAsia="新宋体" w:cs="新宋体"/>
          <w:color w:val="auto"/>
          <w:highlight w:val="none"/>
        </w:rPr>
      </w:pPr>
    </w:p>
    <w:p w14:paraId="10767B4F">
      <w:pPr>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p>
    <w:p w14:paraId="460621F2">
      <w:pPr>
        <w:pStyle w:val="23"/>
        <w:spacing w:line="460" w:lineRule="exact"/>
        <w:ind w:left="0" w:leftChars="0"/>
        <w:jc w:val="center"/>
        <w:outlineLvl w:val="0"/>
        <w:rPr>
          <w:rFonts w:hint="eastAsia" w:ascii="新宋体" w:hAnsi="新宋体" w:eastAsia="新宋体" w:cs="新宋体"/>
          <w:b/>
          <w:color w:val="auto"/>
          <w:sz w:val="30"/>
          <w:highlight w:val="none"/>
        </w:rPr>
      </w:pPr>
      <w:bookmarkStart w:id="5" w:name="_Toc23025"/>
      <w:r>
        <w:rPr>
          <w:rFonts w:hint="eastAsia" w:ascii="新宋体" w:hAnsi="新宋体" w:eastAsia="新宋体" w:cs="新宋体"/>
          <w:b/>
          <w:color w:val="auto"/>
          <w:sz w:val="30"/>
          <w:highlight w:val="none"/>
        </w:rPr>
        <w:t>第一部分    投标人须知</w:t>
      </w:r>
      <w:bookmarkEnd w:id="5"/>
    </w:p>
    <w:p w14:paraId="6BAC3926">
      <w:pPr>
        <w:bidi w:val="0"/>
        <w:jc w:val="center"/>
        <w:outlineLvl w:val="1"/>
        <w:rPr>
          <w:rFonts w:hint="eastAsia" w:ascii="新宋体" w:hAnsi="新宋体" w:eastAsia="新宋体" w:cs="新宋体"/>
          <w:b/>
          <w:bCs/>
          <w:color w:val="auto"/>
          <w:sz w:val="24"/>
          <w:szCs w:val="24"/>
          <w:highlight w:val="none"/>
        </w:rPr>
      </w:pPr>
      <w:bookmarkStart w:id="6" w:name="_Toc24985"/>
      <w:bookmarkStart w:id="7" w:name="_Toc233618971"/>
      <w:bookmarkStart w:id="8" w:name="_Toc33194387"/>
      <w:bookmarkStart w:id="9" w:name="_Toc354996695"/>
      <w:r>
        <w:rPr>
          <w:rFonts w:hint="eastAsia" w:ascii="新宋体" w:hAnsi="新宋体" w:eastAsia="新宋体" w:cs="新宋体"/>
          <w:b/>
          <w:bCs/>
          <w:color w:val="auto"/>
          <w:sz w:val="24"/>
          <w:szCs w:val="24"/>
          <w:highlight w:val="none"/>
        </w:rPr>
        <w:t>前 附 表</w:t>
      </w:r>
      <w:bookmarkEnd w:id="6"/>
      <w:bookmarkEnd w:id="7"/>
      <w:bookmarkEnd w:id="8"/>
      <w:bookmarkEnd w:id="9"/>
    </w:p>
    <w:tbl>
      <w:tblPr>
        <w:tblStyle w:val="53"/>
        <w:tblW w:w="966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632"/>
        <w:gridCol w:w="9031"/>
      </w:tblGrid>
      <w:tr w14:paraId="2B8879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8" w:space="0"/>
              <w:left w:val="single" w:color="000000" w:sz="8" w:space="0"/>
              <w:bottom w:val="single" w:color="000000" w:sz="2" w:space="0"/>
              <w:right w:val="single" w:color="000000" w:sz="2" w:space="0"/>
            </w:tcBorders>
            <w:vAlign w:val="center"/>
          </w:tcPr>
          <w:p w14:paraId="21650605">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条款</w:t>
            </w:r>
          </w:p>
        </w:tc>
        <w:tc>
          <w:tcPr>
            <w:tcW w:w="9031" w:type="dxa"/>
            <w:tcBorders>
              <w:top w:val="single" w:color="000000" w:sz="8" w:space="0"/>
              <w:left w:val="single" w:color="000000" w:sz="2" w:space="0"/>
              <w:bottom w:val="single" w:color="000000" w:sz="2" w:space="0"/>
              <w:right w:val="single" w:color="000000" w:sz="8" w:space="0"/>
            </w:tcBorders>
            <w:vAlign w:val="center"/>
          </w:tcPr>
          <w:p w14:paraId="5C794482">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内容规定</w:t>
            </w:r>
          </w:p>
        </w:tc>
      </w:tr>
      <w:tr w14:paraId="0D5DF6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45136805">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w:t>
            </w:r>
          </w:p>
        </w:tc>
        <w:tc>
          <w:tcPr>
            <w:tcW w:w="9031" w:type="dxa"/>
            <w:tcBorders>
              <w:top w:val="single" w:color="000000" w:sz="2" w:space="0"/>
              <w:left w:val="single" w:color="000000" w:sz="2" w:space="0"/>
              <w:bottom w:val="single" w:color="000000" w:sz="2" w:space="0"/>
              <w:right w:val="single" w:color="000000" w:sz="8" w:space="0"/>
            </w:tcBorders>
          </w:tcPr>
          <w:p w14:paraId="50869050">
            <w:pPr>
              <w:tabs>
                <w:tab w:val="left" w:pos="360"/>
              </w:tabs>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一、项目名称：</w:t>
            </w:r>
            <w:r>
              <w:rPr>
                <w:rFonts w:hint="eastAsia" w:ascii="新宋体" w:hAnsi="新宋体" w:eastAsia="新宋体" w:cs="新宋体"/>
                <w:color w:val="auto"/>
                <w:sz w:val="22"/>
                <w:szCs w:val="22"/>
                <w:highlight w:val="none"/>
                <w:lang w:eastAsia="zh-CN"/>
              </w:rPr>
              <w:t>2025年布草洗涤服务</w:t>
            </w:r>
          </w:p>
          <w:p w14:paraId="263CC86F">
            <w:pPr>
              <w:spacing w:line="460" w:lineRule="exact"/>
              <w:rPr>
                <w:rFonts w:hint="eastAsia" w:ascii="新宋体" w:hAnsi="新宋体" w:eastAsia="新宋体" w:cs="新宋体"/>
                <w:color w:val="auto"/>
                <w:sz w:val="22"/>
                <w:szCs w:val="22"/>
                <w:highlight w:val="none"/>
              </w:rPr>
            </w:pPr>
            <w:bookmarkStart w:id="10" w:name="_Hlt75139851"/>
            <w:bookmarkEnd w:id="10"/>
            <w:r>
              <w:rPr>
                <w:rFonts w:hint="eastAsia" w:ascii="新宋体" w:hAnsi="新宋体" w:eastAsia="新宋体" w:cs="新宋体"/>
                <w:color w:val="auto"/>
                <w:sz w:val="22"/>
                <w:szCs w:val="22"/>
                <w:highlight w:val="none"/>
              </w:rPr>
              <w:t>二、采购内容：</w:t>
            </w:r>
          </w:p>
          <w:tbl>
            <w:tblPr>
              <w:tblStyle w:val="53"/>
              <w:tblW w:w="87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2"/>
              <w:gridCol w:w="825"/>
              <w:gridCol w:w="1635"/>
              <w:gridCol w:w="2505"/>
              <w:gridCol w:w="1937"/>
            </w:tblGrid>
            <w:tr w14:paraId="1FC7F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32" w:type="dxa"/>
                  <w:tcBorders>
                    <w:top w:val="single" w:color="auto" w:sz="4" w:space="0"/>
                    <w:left w:val="single" w:color="auto" w:sz="4" w:space="0"/>
                    <w:bottom w:val="single" w:color="auto" w:sz="4" w:space="0"/>
                    <w:right w:val="single" w:color="auto" w:sz="4" w:space="0"/>
                  </w:tcBorders>
                  <w:vAlign w:val="center"/>
                </w:tcPr>
                <w:p w14:paraId="5374EB2B">
                  <w:pPr>
                    <w:widowControl/>
                    <w:snapToGrid w:val="0"/>
                    <w:spacing w:line="44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项目内容</w:t>
                  </w:r>
                </w:p>
              </w:tc>
              <w:tc>
                <w:tcPr>
                  <w:tcW w:w="825" w:type="dxa"/>
                  <w:tcBorders>
                    <w:top w:val="single" w:color="auto" w:sz="4" w:space="0"/>
                    <w:left w:val="single" w:color="auto" w:sz="4" w:space="0"/>
                    <w:bottom w:val="single" w:color="auto" w:sz="4" w:space="0"/>
                    <w:right w:val="single" w:color="auto" w:sz="4" w:space="0"/>
                  </w:tcBorders>
                  <w:vAlign w:val="center"/>
                </w:tcPr>
                <w:p w14:paraId="5B387A0F">
                  <w:pPr>
                    <w:widowControl/>
                    <w:snapToGrid w:val="0"/>
                    <w:spacing w:line="44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数量</w:t>
                  </w:r>
                </w:p>
              </w:tc>
              <w:tc>
                <w:tcPr>
                  <w:tcW w:w="1635" w:type="dxa"/>
                  <w:tcBorders>
                    <w:top w:val="single" w:color="auto" w:sz="4" w:space="0"/>
                    <w:left w:val="single" w:color="auto" w:sz="4" w:space="0"/>
                    <w:bottom w:val="single" w:color="auto" w:sz="4" w:space="0"/>
                    <w:right w:val="single" w:color="auto" w:sz="4" w:space="0"/>
                  </w:tcBorders>
                  <w:vAlign w:val="center"/>
                </w:tcPr>
                <w:p w14:paraId="0950E9A8">
                  <w:pPr>
                    <w:widowControl/>
                    <w:snapToGrid w:val="0"/>
                    <w:spacing w:line="440" w:lineRule="exact"/>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kern w:val="0"/>
                      <w:sz w:val="22"/>
                      <w:szCs w:val="22"/>
                      <w:highlight w:val="none"/>
                    </w:rPr>
                    <w:t>预算金额</w:t>
                  </w:r>
                  <w:r>
                    <w:rPr>
                      <w:rFonts w:hint="eastAsia" w:ascii="新宋体" w:hAnsi="新宋体" w:eastAsia="新宋体" w:cs="新宋体"/>
                      <w:color w:val="auto"/>
                      <w:kern w:val="0"/>
                      <w:sz w:val="22"/>
                      <w:szCs w:val="22"/>
                      <w:highlight w:val="none"/>
                      <w:lang w:val="en-US" w:eastAsia="zh-CN"/>
                    </w:rPr>
                    <w:t>（元）</w:t>
                  </w:r>
                </w:p>
              </w:tc>
              <w:tc>
                <w:tcPr>
                  <w:tcW w:w="2505" w:type="dxa"/>
                  <w:tcBorders>
                    <w:top w:val="single" w:color="auto" w:sz="4" w:space="0"/>
                    <w:left w:val="single" w:color="auto" w:sz="4" w:space="0"/>
                    <w:bottom w:val="single" w:color="auto" w:sz="4" w:space="0"/>
                    <w:right w:val="single" w:color="auto" w:sz="4" w:space="0"/>
                  </w:tcBorders>
                  <w:vAlign w:val="center"/>
                </w:tcPr>
                <w:p w14:paraId="7D4C3D94">
                  <w:pPr>
                    <w:widowControl/>
                    <w:snapToGrid w:val="0"/>
                    <w:spacing w:line="44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简要技术要求、用途</w:t>
                  </w:r>
                </w:p>
              </w:tc>
              <w:tc>
                <w:tcPr>
                  <w:tcW w:w="1937" w:type="dxa"/>
                  <w:tcBorders>
                    <w:top w:val="single" w:color="auto" w:sz="4" w:space="0"/>
                    <w:left w:val="single" w:color="auto" w:sz="4" w:space="0"/>
                    <w:bottom w:val="single" w:color="auto" w:sz="4" w:space="0"/>
                    <w:right w:val="single" w:color="auto" w:sz="4" w:space="0"/>
                  </w:tcBorders>
                  <w:vAlign w:val="center"/>
                </w:tcPr>
                <w:p w14:paraId="789E1534">
                  <w:pPr>
                    <w:widowControl/>
                    <w:snapToGrid w:val="0"/>
                    <w:spacing w:line="44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w:t>
                  </w:r>
                </w:p>
              </w:tc>
            </w:tr>
            <w:tr w14:paraId="31F50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832" w:type="dxa"/>
                  <w:tcBorders>
                    <w:top w:val="single" w:color="auto" w:sz="4" w:space="0"/>
                    <w:left w:val="single" w:color="auto" w:sz="4" w:space="0"/>
                    <w:right w:val="single" w:color="auto" w:sz="4" w:space="0"/>
                  </w:tcBorders>
                  <w:vAlign w:val="center"/>
                </w:tcPr>
                <w:p w14:paraId="3704B174">
                  <w:pPr>
                    <w:widowControl/>
                    <w:snapToGrid w:val="0"/>
                    <w:spacing w:line="440" w:lineRule="exact"/>
                    <w:jc w:val="cente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sz w:val="22"/>
                      <w:szCs w:val="22"/>
                      <w:highlight w:val="none"/>
                      <w:lang w:eastAsia="zh-CN"/>
                    </w:rPr>
                    <w:t>2025年布草洗涤服务</w:t>
                  </w:r>
                </w:p>
              </w:tc>
              <w:tc>
                <w:tcPr>
                  <w:tcW w:w="825" w:type="dxa"/>
                  <w:tcBorders>
                    <w:top w:val="single" w:color="auto" w:sz="4" w:space="0"/>
                    <w:left w:val="single" w:color="auto" w:sz="4" w:space="0"/>
                    <w:right w:val="single" w:color="auto" w:sz="4" w:space="0"/>
                  </w:tcBorders>
                  <w:vAlign w:val="center"/>
                </w:tcPr>
                <w:p w14:paraId="20265471">
                  <w:pPr>
                    <w:widowControl/>
                    <w:snapToGrid w:val="0"/>
                    <w:spacing w:line="44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1项</w:t>
                  </w:r>
                </w:p>
              </w:tc>
              <w:tc>
                <w:tcPr>
                  <w:tcW w:w="1635" w:type="dxa"/>
                  <w:tcBorders>
                    <w:top w:val="single" w:color="auto" w:sz="4" w:space="0"/>
                    <w:left w:val="single" w:color="auto" w:sz="4" w:space="0"/>
                    <w:right w:val="single" w:color="auto" w:sz="4" w:space="0"/>
                  </w:tcBorders>
                  <w:vAlign w:val="center"/>
                </w:tcPr>
                <w:p w14:paraId="513F997A">
                  <w:pPr>
                    <w:widowControl/>
                    <w:snapToGrid w:val="0"/>
                    <w:spacing w:line="44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1400000.00</w:t>
                  </w:r>
                </w:p>
              </w:tc>
              <w:tc>
                <w:tcPr>
                  <w:tcW w:w="2505" w:type="dxa"/>
                  <w:tcBorders>
                    <w:top w:val="single" w:color="auto" w:sz="4" w:space="0"/>
                    <w:left w:val="single" w:color="auto" w:sz="4" w:space="0"/>
                    <w:right w:val="single" w:color="auto" w:sz="4" w:space="0"/>
                  </w:tcBorders>
                  <w:vAlign w:val="center"/>
                </w:tcPr>
                <w:p w14:paraId="4CC21C90">
                  <w:pPr>
                    <w:widowControl/>
                    <w:snapToGrid w:val="0"/>
                    <w:spacing w:line="44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详见招标文件“项目技术规范和服务要求”</w:t>
                  </w:r>
                </w:p>
              </w:tc>
              <w:tc>
                <w:tcPr>
                  <w:tcW w:w="1937" w:type="dxa"/>
                  <w:tcBorders>
                    <w:left w:val="single" w:color="auto" w:sz="4" w:space="0"/>
                    <w:right w:val="single" w:color="auto" w:sz="4" w:space="0"/>
                  </w:tcBorders>
                </w:tcPr>
                <w:p w14:paraId="7FF4EE4D">
                  <w:pPr>
                    <w:widowControl/>
                    <w:snapToGrid w:val="0"/>
                    <w:spacing w:line="44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综合单价限价为：2.5元/床日</w:t>
                  </w:r>
                </w:p>
              </w:tc>
            </w:tr>
          </w:tbl>
          <w:p w14:paraId="7BC9FD77">
            <w:pPr>
              <w:widowControl/>
              <w:spacing w:line="460" w:lineRule="exact"/>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▲如投标人报价超过综合单价限价按无效标处理。</w:t>
            </w:r>
          </w:p>
          <w:p w14:paraId="44B1BD4C">
            <w:pPr>
              <w:widowControl/>
              <w:spacing w:line="460" w:lineRule="exact"/>
              <w:jc w:val="lef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en-US" w:eastAsia="zh-CN"/>
              </w:rPr>
              <w:t>三、</w:t>
            </w:r>
            <w:r>
              <w:rPr>
                <w:rFonts w:hint="eastAsia" w:ascii="新宋体" w:hAnsi="新宋体" w:eastAsia="新宋体" w:cs="新宋体"/>
                <w:b/>
                <w:bCs/>
                <w:color w:val="auto"/>
                <w:sz w:val="22"/>
                <w:szCs w:val="22"/>
                <w:highlight w:val="none"/>
              </w:rPr>
              <w:t>本项目</w:t>
            </w:r>
            <w:r>
              <w:rPr>
                <w:rFonts w:hint="eastAsia" w:ascii="新宋体" w:hAnsi="新宋体" w:eastAsia="新宋体" w:cs="新宋体"/>
                <w:b/>
                <w:bCs/>
                <w:color w:val="auto"/>
                <w:sz w:val="22"/>
                <w:szCs w:val="22"/>
                <w:highlight w:val="none"/>
                <w:lang w:val="en-US" w:eastAsia="zh-CN"/>
              </w:rPr>
              <w:t>（是）</w:t>
            </w:r>
            <w:r>
              <w:rPr>
                <w:rFonts w:hint="eastAsia" w:ascii="新宋体" w:hAnsi="新宋体" w:eastAsia="新宋体" w:cs="新宋体"/>
                <w:b/>
                <w:bCs/>
                <w:color w:val="auto"/>
                <w:sz w:val="22"/>
                <w:szCs w:val="22"/>
                <w:highlight w:val="none"/>
              </w:rPr>
              <w:t>接受联合体投标</w:t>
            </w:r>
            <w:r>
              <w:rPr>
                <w:rFonts w:hint="eastAsia" w:ascii="新宋体" w:hAnsi="新宋体" w:eastAsia="新宋体" w:cs="新宋体"/>
                <w:b/>
                <w:bCs/>
                <w:color w:val="auto"/>
                <w:sz w:val="22"/>
                <w:szCs w:val="22"/>
                <w:highlight w:val="none"/>
                <w:lang w:eastAsia="zh-CN"/>
              </w:rPr>
              <w:t>，</w:t>
            </w:r>
            <w:r>
              <w:rPr>
                <w:rFonts w:hint="eastAsia" w:ascii="新宋体" w:hAnsi="新宋体" w:eastAsia="新宋体" w:cs="新宋体"/>
                <w:b/>
                <w:bCs/>
                <w:color w:val="auto"/>
                <w:sz w:val="22"/>
                <w:szCs w:val="22"/>
                <w:highlight w:val="none"/>
              </w:rPr>
              <w:t>组成的联合体须满足：①出具联合体共同投标协议书（须明确牵头人）；②以联合体形式参加采购活动的，联合体各方不得再单独参加或者与其他供应商另外组成联合体参加同一合同项下的采购活动</w:t>
            </w:r>
            <w:r>
              <w:rPr>
                <w:rFonts w:hint="eastAsia" w:ascii="新宋体" w:hAnsi="新宋体" w:eastAsia="新宋体" w:cs="新宋体"/>
                <w:b/>
                <w:bCs/>
                <w:color w:val="auto"/>
                <w:sz w:val="22"/>
                <w:szCs w:val="22"/>
                <w:highlight w:val="none"/>
                <w:lang w:eastAsia="zh-CN"/>
              </w:rPr>
              <w:t>；③</w:t>
            </w:r>
            <w:r>
              <w:rPr>
                <w:rFonts w:hint="eastAsia" w:ascii="新宋体" w:hAnsi="新宋体" w:eastAsia="新宋体" w:cs="新宋体"/>
                <w:b/>
                <w:bCs/>
                <w:color w:val="auto"/>
                <w:sz w:val="22"/>
                <w:szCs w:val="22"/>
                <w:highlight w:val="none"/>
                <w:lang w:val="en-US" w:eastAsia="zh-CN"/>
              </w:rPr>
              <w:t>联合体组成成员（含牵头人）不得超过2家。</w:t>
            </w:r>
          </w:p>
        </w:tc>
      </w:tr>
      <w:tr w14:paraId="62B4E4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11E321FF">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w:t>
            </w:r>
          </w:p>
        </w:tc>
        <w:tc>
          <w:tcPr>
            <w:tcW w:w="9031" w:type="dxa"/>
            <w:tcBorders>
              <w:top w:val="single" w:color="000000" w:sz="2" w:space="0"/>
              <w:left w:val="single" w:color="000000" w:sz="2" w:space="0"/>
              <w:bottom w:val="single" w:color="000000" w:sz="2" w:space="0"/>
              <w:right w:val="single" w:color="000000" w:sz="8" w:space="0"/>
            </w:tcBorders>
            <w:vAlign w:val="center"/>
          </w:tcPr>
          <w:p w14:paraId="18E9011B">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zh-CN"/>
              </w:rPr>
              <w:t>投标</w:t>
            </w:r>
            <w:r>
              <w:rPr>
                <w:rFonts w:hint="eastAsia" w:ascii="新宋体" w:hAnsi="新宋体" w:eastAsia="新宋体" w:cs="新宋体"/>
                <w:b/>
                <w:bCs/>
                <w:color w:val="auto"/>
                <w:sz w:val="22"/>
                <w:szCs w:val="22"/>
                <w:highlight w:val="none"/>
              </w:rPr>
              <w:t>有效期：</w:t>
            </w:r>
            <w:r>
              <w:rPr>
                <w:rFonts w:hint="eastAsia" w:ascii="新宋体" w:hAnsi="新宋体" w:eastAsia="新宋体" w:cs="新宋体"/>
                <w:color w:val="auto"/>
                <w:sz w:val="22"/>
                <w:szCs w:val="22"/>
                <w:highlight w:val="none"/>
              </w:rPr>
              <w:t>自投标截止日起</w:t>
            </w:r>
            <w:r>
              <w:rPr>
                <w:rFonts w:hint="eastAsia" w:ascii="新宋体" w:hAnsi="新宋体" w:eastAsia="新宋体" w:cs="新宋体"/>
                <w:color w:val="auto"/>
                <w:sz w:val="22"/>
                <w:szCs w:val="22"/>
                <w:highlight w:val="none"/>
                <w:lang w:val="en-US" w:eastAsia="zh-CN"/>
              </w:rPr>
              <w:t>90</w:t>
            </w:r>
            <w:r>
              <w:rPr>
                <w:rFonts w:hint="eastAsia" w:ascii="新宋体" w:hAnsi="新宋体" w:eastAsia="新宋体" w:cs="新宋体"/>
                <w:color w:val="auto"/>
                <w:sz w:val="22"/>
                <w:szCs w:val="22"/>
                <w:highlight w:val="none"/>
              </w:rPr>
              <w:t>天。</w:t>
            </w:r>
          </w:p>
        </w:tc>
      </w:tr>
      <w:tr w14:paraId="28EB8F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2ADD519A">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w:t>
            </w:r>
          </w:p>
        </w:tc>
        <w:tc>
          <w:tcPr>
            <w:tcW w:w="9031" w:type="dxa"/>
            <w:tcBorders>
              <w:top w:val="single" w:color="000000" w:sz="2" w:space="0"/>
              <w:left w:val="single" w:color="000000" w:sz="2" w:space="0"/>
              <w:bottom w:val="single" w:color="000000" w:sz="2" w:space="0"/>
              <w:right w:val="single" w:color="000000" w:sz="8" w:space="0"/>
            </w:tcBorders>
            <w:vAlign w:val="center"/>
          </w:tcPr>
          <w:p w14:paraId="0326A17A">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投标保证金数额：无</w:t>
            </w:r>
            <w:r>
              <w:rPr>
                <w:rFonts w:hint="eastAsia" w:ascii="新宋体" w:hAnsi="新宋体" w:eastAsia="新宋体" w:cs="新宋体"/>
                <w:color w:val="auto"/>
                <w:sz w:val="22"/>
                <w:szCs w:val="22"/>
                <w:highlight w:val="none"/>
              </w:rPr>
              <w:t>。</w:t>
            </w:r>
          </w:p>
        </w:tc>
      </w:tr>
      <w:tr w14:paraId="31AAE8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935" w:hRule="atLeast"/>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68831B47">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lang w:val="en-US" w:eastAsia="zh-CN"/>
              </w:rPr>
              <w:t>4</w:t>
            </w:r>
          </w:p>
        </w:tc>
        <w:tc>
          <w:tcPr>
            <w:tcW w:w="9031" w:type="dxa"/>
            <w:tcBorders>
              <w:top w:val="single" w:color="000000" w:sz="2" w:space="0"/>
              <w:left w:val="single" w:color="000000" w:sz="2" w:space="0"/>
              <w:bottom w:val="single" w:color="000000" w:sz="2" w:space="0"/>
              <w:right w:val="single" w:color="000000" w:sz="8" w:space="0"/>
            </w:tcBorders>
            <w:vAlign w:val="center"/>
          </w:tcPr>
          <w:p w14:paraId="51057E32">
            <w:pPr>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招标服务费：根据国家计委计价格【2002】1980号《招标代理服务收费管理暂行办法》规定按预算金额计算后下浮25%收取，由中标人在领取中标通知书时支付。</w:t>
            </w:r>
          </w:p>
          <w:p w14:paraId="2DEE4689">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户  名：温州历程招标有限公司乐清分公司</w:t>
            </w:r>
          </w:p>
          <w:p w14:paraId="3F9A5B4D">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账  号：33050162870400000619</w:t>
            </w:r>
          </w:p>
          <w:p w14:paraId="4F9A4FBD">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开户行：中国建设银行股份有限公司温州新城支行</w:t>
            </w:r>
          </w:p>
          <w:p w14:paraId="675B213D">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行  号：105333000038</w:t>
            </w:r>
          </w:p>
        </w:tc>
      </w:tr>
      <w:tr w14:paraId="1656DF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451DC227">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lang w:val="en-US" w:eastAsia="zh-CN"/>
              </w:rPr>
              <w:t>5</w:t>
            </w:r>
          </w:p>
        </w:tc>
        <w:tc>
          <w:tcPr>
            <w:tcW w:w="9031" w:type="dxa"/>
            <w:tcBorders>
              <w:top w:val="single" w:color="000000" w:sz="2" w:space="0"/>
              <w:left w:val="single" w:color="000000" w:sz="2" w:space="0"/>
              <w:bottom w:val="single" w:color="000000" w:sz="2" w:space="0"/>
              <w:right w:val="single" w:color="000000" w:sz="8" w:space="0"/>
            </w:tcBorders>
            <w:vAlign w:val="center"/>
          </w:tcPr>
          <w:p w14:paraId="5F459E2A">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投标文件的组成：</w:t>
            </w:r>
            <w:r>
              <w:rPr>
                <w:rFonts w:hint="eastAsia" w:ascii="新宋体" w:hAnsi="新宋体" w:eastAsia="新宋体" w:cs="新宋体"/>
                <w:color w:val="auto"/>
                <w:sz w:val="22"/>
                <w:szCs w:val="22"/>
                <w:highlight w:val="none"/>
              </w:rPr>
              <w:t>完整的《投标文件》由“资格文件”、“报价文件”和“商务技术文件”三个部分组成。</w:t>
            </w:r>
          </w:p>
        </w:tc>
      </w:tr>
      <w:tr w14:paraId="2D5610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1263C2AE">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lang w:val="en-US" w:eastAsia="zh-CN"/>
              </w:rPr>
              <w:t>6</w:t>
            </w:r>
          </w:p>
        </w:tc>
        <w:tc>
          <w:tcPr>
            <w:tcW w:w="9031" w:type="dxa"/>
            <w:tcBorders>
              <w:top w:val="single" w:color="000000" w:sz="2" w:space="0"/>
              <w:left w:val="single" w:color="000000" w:sz="2" w:space="0"/>
              <w:bottom w:val="single" w:color="000000" w:sz="2" w:space="0"/>
              <w:right w:val="single" w:color="000000" w:sz="8" w:space="0"/>
            </w:tcBorders>
            <w:vAlign w:val="center"/>
          </w:tcPr>
          <w:p w14:paraId="3195386E">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投标文件的编制：</w:t>
            </w:r>
            <w:r>
              <w:rPr>
                <w:rFonts w:hint="eastAsia" w:ascii="新宋体" w:hAnsi="新宋体" w:eastAsia="新宋体" w:cs="新宋体"/>
                <w:color w:val="auto"/>
                <w:sz w:val="22"/>
                <w:szCs w:val="22"/>
                <w:highlight w:val="none"/>
              </w:rPr>
              <w:t>投标人应先安装“</w:t>
            </w:r>
            <w:r>
              <w:rPr>
                <w:rFonts w:hint="eastAsia" w:ascii="新宋体" w:hAnsi="新宋体" w:eastAsia="新宋体" w:cs="新宋体"/>
                <w:color w:val="auto"/>
                <w:sz w:val="22"/>
                <w:szCs w:val="22"/>
                <w:highlight w:val="none"/>
                <w:lang w:eastAsia="zh-CN"/>
              </w:rPr>
              <w:t>政采云</w:t>
            </w:r>
            <w:r>
              <w:rPr>
                <w:rFonts w:hint="eastAsia" w:ascii="新宋体" w:hAnsi="新宋体" w:eastAsia="新宋体" w:cs="新宋体"/>
                <w:color w:val="auto"/>
                <w:sz w:val="22"/>
                <w:szCs w:val="22"/>
                <w:highlight w:val="none"/>
              </w:rPr>
              <w:t>电子交易客户端”，并按照本招标文件和“</w:t>
            </w:r>
            <w:r>
              <w:rPr>
                <w:rFonts w:hint="eastAsia" w:ascii="新宋体" w:hAnsi="新宋体" w:eastAsia="新宋体" w:cs="新宋体"/>
                <w:color w:val="auto"/>
                <w:sz w:val="22"/>
                <w:szCs w:val="22"/>
                <w:highlight w:val="none"/>
                <w:lang w:eastAsia="zh-CN"/>
              </w:rPr>
              <w:t>政采云平台</w:t>
            </w:r>
            <w:r>
              <w:rPr>
                <w:rFonts w:hint="eastAsia" w:ascii="新宋体" w:hAnsi="新宋体" w:eastAsia="新宋体" w:cs="新宋体"/>
                <w:color w:val="auto"/>
                <w:sz w:val="22"/>
                <w:szCs w:val="22"/>
                <w:highlight w:val="none"/>
              </w:rPr>
              <w:t>”的要求，通过“</w:t>
            </w:r>
            <w:r>
              <w:rPr>
                <w:rFonts w:hint="eastAsia" w:ascii="新宋体" w:hAnsi="新宋体" w:eastAsia="新宋体" w:cs="新宋体"/>
                <w:color w:val="auto"/>
                <w:sz w:val="22"/>
                <w:szCs w:val="22"/>
                <w:highlight w:val="none"/>
                <w:lang w:eastAsia="zh-CN"/>
              </w:rPr>
              <w:t>政采云</w:t>
            </w:r>
            <w:r>
              <w:rPr>
                <w:rFonts w:hint="eastAsia" w:ascii="新宋体" w:hAnsi="新宋体" w:eastAsia="新宋体" w:cs="新宋体"/>
                <w:color w:val="auto"/>
                <w:sz w:val="22"/>
                <w:szCs w:val="22"/>
                <w:highlight w:val="none"/>
              </w:rPr>
              <w:t>电子交易客户端”编制并加密投标文件。</w:t>
            </w:r>
          </w:p>
        </w:tc>
      </w:tr>
      <w:tr w14:paraId="70657D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09C46D64">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lang w:val="en-US" w:eastAsia="zh-CN"/>
              </w:rPr>
              <w:t>7</w:t>
            </w:r>
          </w:p>
        </w:tc>
        <w:tc>
          <w:tcPr>
            <w:tcW w:w="9031" w:type="dxa"/>
            <w:tcBorders>
              <w:top w:val="single" w:color="000000" w:sz="2" w:space="0"/>
              <w:left w:val="single" w:color="000000" w:sz="2" w:space="0"/>
              <w:bottom w:val="single" w:color="000000" w:sz="2" w:space="0"/>
              <w:right w:val="single" w:color="000000" w:sz="8" w:space="0"/>
            </w:tcBorders>
            <w:vAlign w:val="center"/>
          </w:tcPr>
          <w:p w14:paraId="27846B1D">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投标文件的签章：</w:t>
            </w:r>
            <w:r>
              <w:rPr>
                <w:rFonts w:hint="eastAsia" w:ascii="新宋体" w:hAnsi="新宋体" w:eastAsia="新宋体" w:cs="新宋体"/>
                <w:color w:val="auto"/>
                <w:sz w:val="22"/>
                <w:szCs w:val="22"/>
                <w:highlight w:val="none"/>
              </w:rPr>
              <w:t>电子签章。</w:t>
            </w:r>
            <w:r>
              <w:rPr>
                <w:rFonts w:hint="eastAsia" w:ascii="新宋体" w:hAnsi="新宋体" w:eastAsia="新宋体" w:cs="新宋体"/>
                <w:b/>
                <w:color w:val="auto"/>
                <w:sz w:val="22"/>
                <w:szCs w:val="22"/>
                <w:highlight w:val="none"/>
                <w:lang w:val="en-US" w:eastAsia="zh-CN"/>
              </w:rPr>
              <w:t>如为联合体投标的，招标文件中需联合体所有成员分别填写的格式，联合体成员（除牵头人外）按招标文件格式分别进行编制（格式中要求提供相关证明材料的还需后附相关证明材料），并按格式要求在指定位置根据要求进行签字（或盖章）后将扫描件提交给牵头人（联合体共同投标协议书须签字或盖章的地方须由联合体双方均签字或盖章）。牵头人在完成投标文件编制后扫描上传加密电子投标文件，电子投标文件中所须加盖公章的地方均加盖牵头人的电子签章。</w:t>
            </w:r>
          </w:p>
        </w:tc>
      </w:tr>
      <w:tr w14:paraId="11464E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662C9542">
            <w:pPr>
              <w:snapToGrid w:val="0"/>
              <w:spacing w:line="460" w:lineRule="exact"/>
              <w:jc w:val="center"/>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8</w:t>
            </w:r>
          </w:p>
        </w:tc>
        <w:tc>
          <w:tcPr>
            <w:tcW w:w="9031" w:type="dxa"/>
            <w:tcBorders>
              <w:top w:val="single" w:color="000000" w:sz="2" w:space="0"/>
              <w:left w:val="single" w:color="000000" w:sz="2" w:space="0"/>
              <w:bottom w:val="single" w:color="000000" w:sz="2" w:space="0"/>
              <w:right w:val="single" w:color="000000" w:sz="8" w:space="0"/>
            </w:tcBorders>
            <w:vAlign w:val="center"/>
          </w:tcPr>
          <w:p w14:paraId="3C89D2BF">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投标文件的形式：</w:t>
            </w:r>
            <w:r>
              <w:rPr>
                <w:rFonts w:hint="default" w:ascii="Times New Roman" w:hAnsi="Times New Roman" w:eastAsia="新宋体" w:cs="Times New Roman"/>
                <w:color w:val="auto"/>
                <w:sz w:val="22"/>
                <w:szCs w:val="22"/>
                <w:highlight w:val="none"/>
              </w:rPr>
              <w:t>☑</w:t>
            </w:r>
            <w:r>
              <w:rPr>
                <w:rFonts w:hint="eastAsia" w:ascii="新宋体" w:hAnsi="新宋体" w:eastAsia="新宋体" w:cs="新宋体"/>
                <w:color w:val="auto"/>
                <w:sz w:val="22"/>
                <w:szCs w:val="22"/>
                <w:highlight w:val="none"/>
              </w:rPr>
              <w:t>电子投标文件（包括“电子加密投标文件”和“备份投标文件”，在投标文件编制完成后同时生成）；</w:t>
            </w:r>
          </w:p>
          <w:p w14:paraId="152E966D">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（1）“电子加密投标文件”是指通过“</w:t>
            </w:r>
            <w:r>
              <w:rPr>
                <w:rFonts w:hint="eastAsia" w:ascii="新宋体" w:hAnsi="新宋体" w:eastAsia="新宋体" w:cs="新宋体"/>
                <w:color w:val="auto"/>
                <w:sz w:val="22"/>
                <w:szCs w:val="22"/>
                <w:highlight w:val="none"/>
                <w:lang w:eastAsia="zh-CN"/>
              </w:rPr>
              <w:t>政采云</w:t>
            </w:r>
            <w:r>
              <w:rPr>
                <w:rFonts w:hint="eastAsia" w:ascii="新宋体" w:hAnsi="新宋体" w:eastAsia="新宋体" w:cs="新宋体"/>
                <w:color w:val="auto"/>
                <w:sz w:val="22"/>
                <w:szCs w:val="22"/>
                <w:highlight w:val="none"/>
              </w:rPr>
              <w:t>电子交易客户端”完成投标文件编制后生成并加密的数据电文形式的投标文件。</w:t>
            </w:r>
          </w:p>
          <w:p w14:paraId="59B10EC3">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（2）“备份投标文件”是指与“电子加密投标文件”同时生成的数据电文形式的电子文件（备份标书），其他方式编制的备份投标文件视为无效备份投标文件。</w:t>
            </w:r>
          </w:p>
        </w:tc>
      </w:tr>
      <w:tr w14:paraId="2D7867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1D339FE1">
            <w:pPr>
              <w:snapToGrid w:val="0"/>
              <w:spacing w:line="460" w:lineRule="exact"/>
              <w:jc w:val="center"/>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9</w:t>
            </w:r>
          </w:p>
        </w:tc>
        <w:tc>
          <w:tcPr>
            <w:tcW w:w="9031" w:type="dxa"/>
            <w:tcBorders>
              <w:top w:val="single" w:color="000000" w:sz="2" w:space="0"/>
              <w:left w:val="single" w:color="000000" w:sz="2" w:space="0"/>
              <w:bottom w:val="single" w:color="000000" w:sz="2" w:space="0"/>
              <w:right w:val="single" w:color="000000" w:sz="8" w:space="0"/>
            </w:tcBorders>
            <w:vAlign w:val="center"/>
          </w:tcPr>
          <w:p w14:paraId="5332D443">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投标文件份数：</w:t>
            </w:r>
          </w:p>
          <w:p w14:paraId="136EDBDC">
            <w:pPr>
              <w:numPr>
                <w:ilvl w:val="0"/>
                <w:numId w:val="0"/>
              </w:num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“电子加密投标文件”：在线上传递交、一份。</w:t>
            </w:r>
          </w:p>
          <w:p w14:paraId="54CDDB9C">
            <w:pPr>
              <w:numPr>
                <w:ilvl w:val="0"/>
                <w:numId w:val="0"/>
              </w:num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“备份投标文件”：密封包装后投标截止时间前递交、一份</w:t>
            </w:r>
          </w:p>
          <w:p w14:paraId="77665FD3">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（若不提供备份文件，电子加密投标文件解密失败，投标人自行负责。）</w:t>
            </w:r>
          </w:p>
          <w:p w14:paraId="60F365BF">
            <w:pPr>
              <w:tabs>
                <w:tab w:val="left" w:pos="360"/>
              </w:tabs>
              <w:spacing w:line="460" w:lineRule="exact"/>
              <w:rPr>
                <w:rFonts w:hint="eastAsia" w:ascii="新宋体" w:hAnsi="新宋体" w:eastAsia="新宋体" w:cs="新宋体"/>
                <w:b/>
                <w:color w:val="auto"/>
                <w:sz w:val="22"/>
                <w:szCs w:val="22"/>
                <w:highlight w:val="none"/>
                <w:u w:val="single"/>
              </w:rPr>
            </w:pPr>
            <w:r>
              <w:rPr>
                <w:rFonts w:hint="eastAsia" w:ascii="新宋体" w:hAnsi="新宋体" w:eastAsia="新宋体" w:cs="新宋体"/>
                <w:b/>
                <w:bCs/>
                <w:color w:val="auto"/>
                <w:sz w:val="22"/>
                <w:szCs w:val="22"/>
                <w:highlight w:val="none"/>
              </w:rPr>
              <w:t>可以</w:t>
            </w:r>
            <w:r>
              <w:rPr>
                <w:rFonts w:hint="eastAsia" w:ascii="新宋体" w:hAnsi="新宋体" w:eastAsia="新宋体" w:cs="新宋体"/>
                <w:b/>
                <w:color w:val="auto"/>
                <w:sz w:val="22"/>
                <w:szCs w:val="22"/>
                <w:highlight w:val="none"/>
                <w:u w:val="single"/>
              </w:rPr>
              <w:t>（邮寄形式，建议顺丰）在投标截止时间前递交，并需</w:t>
            </w:r>
            <w:r>
              <w:rPr>
                <w:rFonts w:hint="eastAsia" w:ascii="新宋体" w:hAnsi="新宋体" w:eastAsia="新宋体" w:cs="新宋体"/>
                <w:b/>
                <w:color w:val="auto"/>
                <w:sz w:val="22"/>
                <w:szCs w:val="22"/>
                <w:highlight w:val="none"/>
                <w:u w:val="single"/>
                <w:lang w:eastAsia="zh-CN"/>
              </w:rPr>
              <w:t>招标代理机构</w:t>
            </w:r>
            <w:r>
              <w:rPr>
                <w:rFonts w:hint="eastAsia" w:ascii="新宋体" w:hAnsi="新宋体" w:eastAsia="新宋体" w:cs="新宋体"/>
                <w:b/>
                <w:color w:val="auto"/>
                <w:sz w:val="22"/>
                <w:szCs w:val="22"/>
                <w:highlight w:val="none"/>
                <w:u w:val="single"/>
              </w:rPr>
              <w:t>确认是否收到。</w:t>
            </w:r>
          </w:p>
          <w:p w14:paraId="3C8DEF2D">
            <w:pPr>
              <w:tabs>
                <w:tab w:val="left" w:pos="36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邮寄地址：</w:t>
            </w:r>
            <w:r>
              <w:rPr>
                <w:rFonts w:hint="eastAsia" w:ascii="新宋体" w:hAnsi="新宋体" w:eastAsia="新宋体" w:cs="新宋体"/>
                <w:color w:val="auto"/>
                <w:sz w:val="22"/>
                <w:szCs w:val="22"/>
                <w:highlight w:val="none"/>
                <w:lang w:eastAsia="zh-CN"/>
              </w:rPr>
              <w:t>温州市鹿城区南汇街道勤民路鹿城壹号18幢803室</w:t>
            </w:r>
            <w:r>
              <w:rPr>
                <w:rFonts w:hint="eastAsia" w:ascii="新宋体" w:hAnsi="新宋体" w:eastAsia="新宋体" w:cs="新宋体"/>
                <w:color w:val="auto"/>
                <w:sz w:val="22"/>
                <w:szCs w:val="22"/>
                <w:highlight w:val="none"/>
              </w:rPr>
              <w:t>。</w:t>
            </w:r>
          </w:p>
        </w:tc>
      </w:tr>
      <w:tr w14:paraId="72FB04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435C6EE5">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0</w:t>
            </w:r>
          </w:p>
        </w:tc>
        <w:tc>
          <w:tcPr>
            <w:tcW w:w="9031" w:type="dxa"/>
            <w:tcBorders>
              <w:top w:val="single" w:color="000000" w:sz="2" w:space="0"/>
              <w:left w:val="single" w:color="000000" w:sz="2" w:space="0"/>
              <w:bottom w:val="single" w:color="000000" w:sz="2" w:space="0"/>
              <w:right w:val="single" w:color="000000" w:sz="8" w:space="0"/>
            </w:tcBorders>
            <w:vAlign w:val="center"/>
          </w:tcPr>
          <w:p w14:paraId="2F912943">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投标文件的上传和递交：</w:t>
            </w:r>
          </w:p>
          <w:p w14:paraId="15BAF372">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（1）“电子加密投标文件”的上传、递交：</w:t>
            </w:r>
          </w:p>
          <w:p w14:paraId="62D576B9">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a.投标人应在投标截止时间前将“电子加密投标文件”成功上传递交至“</w:t>
            </w:r>
            <w:r>
              <w:rPr>
                <w:rFonts w:hint="eastAsia" w:ascii="新宋体" w:hAnsi="新宋体" w:eastAsia="新宋体" w:cs="新宋体"/>
                <w:color w:val="auto"/>
                <w:sz w:val="22"/>
                <w:szCs w:val="22"/>
                <w:highlight w:val="none"/>
                <w:lang w:eastAsia="zh-CN"/>
              </w:rPr>
              <w:t>政采云平台</w:t>
            </w:r>
            <w:r>
              <w:rPr>
                <w:rFonts w:hint="eastAsia" w:ascii="新宋体" w:hAnsi="新宋体" w:eastAsia="新宋体" w:cs="新宋体"/>
                <w:color w:val="auto"/>
                <w:sz w:val="22"/>
                <w:szCs w:val="22"/>
                <w:highlight w:val="none"/>
              </w:rPr>
              <w:t>”，否则投标无效。</w:t>
            </w:r>
          </w:p>
          <w:p w14:paraId="1BD31D23">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b.“电子加密投标文件”成功上传递交后，投标人可自行打印投标文件接收回执。</w:t>
            </w:r>
          </w:p>
          <w:p w14:paraId="6E5D120F">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（2）“备份投标文件”的密封包装、递交：</w:t>
            </w:r>
          </w:p>
          <w:p w14:paraId="6F5F2932">
            <w:pPr>
              <w:tabs>
                <w:tab w:val="left" w:pos="360"/>
              </w:tabs>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a.投标人在“</w:t>
            </w:r>
            <w:r>
              <w:rPr>
                <w:rFonts w:hint="eastAsia" w:ascii="新宋体" w:hAnsi="新宋体" w:eastAsia="新宋体" w:cs="新宋体"/>
                <w:color w:val="auto"/>
                <w:sz w:val="22"/>
                <w:szCs w:val="22"/>
                <w:highlight w:val="none"/>
                <w:lang w:eastAsia="zh-CN"/>
              </w:rPr>
              <w:t>政采云平台</w:t>
            </w:r>
            <w:r>
              <w:rPr>
                <w:rFonts w:hint="eastAsia" w:ascii="新宋体" w:hAnsi="新宋体" w:eastAsia="新宋体" w:cs="新宋体"/>
                <w:color w:val="auto"/>
                <w:sz w:val="22"/>
                <w:szCs w:val="22"/>
                <w:highlight w:val="none"/>
              </w:rPr>
              <w:t>”完成“电子加密投标文件”的上传递交后，</w:t>
            </w:r>
            <w:r>
              <w:rPr>
                <w:rFonts w:hint="eastAsia" w:ascii="新宋体" w:hAnsi="新宋体" w:eastAsia="新宋体" w:cs="新宋体"/>
                <w:b/>
                <w:bCs/>
                <w:color w:val="auto"/>
                <w:sz w:val="22"/>
                <w:szCs w:val="22"/>
                <w:highlight w:val="none"/>
              </w:rPr>
              <w:t>还可以在投标截止时间前递交以介质（U盘）存储的数据电文形式的“备份投标文件”，（可以（邮寄形式，建议顺丰）在投标截止时间前递交，并需</w:t>
            </w:r>
            <w:r>
              <w:rPr>
                <w:rFonts w:hint="eastAsia" w:ascii="新宋体" w:hAnsi="新宋体" w:eastAsia="新宋体" w:cs="新宋体"/>
                <w:b/>
                <w:bCs/>
                <w:color w:val="auto"/>
                <w:sz w:val="22"/>
                <w:szCs w:val="22"/>
                <w:highlight w:val="none"/>
                <w:lang w:eastAsia="zh-CN"/>
              </w:rPr>
              <w:t>招标代理机构</w:t>
            </w:r>
            <w:r>
              <w:rPr>
                <w:rFonts w:hint="eastAsia" w:ascii="新宋体" w:hAnsi="新宋体" w:eastAsia="新宋体" w:cs="新宋体"/>
                <w:b/>
                <w:bCs/>
                <w:color w:val="auto"/>
                <w:sz w:val="22"/>
                <w:szCs w:val="22"/>
                <w:highlight w:val="none"/>
              </w:rPr>
              <w:t>确认是否收到）</w:t>
            </w:r>
          </w:p>
          <w:p w14:paraId="353A5484">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b.“备份投标文件”应当密封包装，并在包装上标注投标项目名称、投标单位名称并加盖公章。没有密封包装或者逾期（邮寄）送达至投标地点的“备份投标文件”将不予接收；</w:t>
            </w:r>
          </w:p>
          <w:p w14:paraId="02A6E44D">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c.通过“</w:t>
            </w:r>
            <w:r>
              <w:rPr>
                <w:rFonts w:hint="eastAsia" w:ascii="新宋体" w:hAnsi="新宋体" w:eastAsia="新宋体" w:cs="新宋体"/>
                <w:color w:val="auto"/>
                <w:sz w:val="22"/>
                <w:szCs w:val="22"/>
                <w:highlight w:val="none"/>
                <w:lang w:eastAsia="zh-CN"/>
              </w:rPr>
              <w:t>政采云平台</w:t>
            </w:r>
            <w:r>
              <w:rPr>
                <w:rFonts w:hint="eastAsia" w:ascii="新宋体" w:hAnsi="新宋体" w:eastAsia="新宋体" w:cs="新宋体"/>
                <w:color w:val="auto"/>
                <w:sz w:val="22"/>
                <w:szCs w:val="22"/>
                <w:highlight w:val="none"/>
              </w:rPr>
              <w:t>”成功上传递交的“电子加密投标文件”已按时解密的，“备份投标文件”自动失效。投标截止时间前，投标人仅递交了“备份投标文件”而未将“电子加密投标文件”成功上传至“</w:t>
            </w:r>
            <w:r>
              <w:rPr>
                <w:rFonts w:hint="eastAsia" w:ascii="新宋体" w:hAnsi="新宋体" w:eastAsia="新宋体" w:cs="新宋体"/>
                <w:color w:val="auto"/>
                <w:sz w:val="22"/>
                <w:szCs w:val="22"/>
                <w:highlight w:val="none"/>
                <w:lang w:eastAsia="zh-CN"/>
              </w:rPr>
              <w:t>政采云平台</w:t>
            </w:r>
            <w:r>
              <w:rPr>
                <w:rFonts w:hint="eastAsia" w:ascii="新宋体" w:hAnsi="新宋体" w:eastAsia="新宋体" w:cs="新宋体"/>
                <w:color w:val="auto"/>
                <w:sz w:val="22"/>
                <w:szCs w:val="22"/>
                <w:highlight w:val="none"/>
              </w:rPr>
              <w:t>”的，投标无效。</w:t>
            </w:r>
          </w:p>
          <w:p w14:paraId="431E176E">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d.供应商（联合体投标的，须由牵头人制作并递交电子加密投标文件）通过“政采云电子投标客户端”完成投标文</w:t>
            </w:r>
            <w:r>
              <w:rPr>
                <w:rFonts w:hint="eastAsia" w:ascii="新宋体" w:hAnsi="新宋体" w:eastAsia="新宋体" w:cs="新宋体"/>
                <w:color w:val="auto"/>
                <w:sz w:val="22"/>
                <w:szCs w:val="22"/>
                <w:highlight w:val="none"/>
              </w:rPr>
              <w:t>件编制</w:t>
            </w:r>
            <w:r>
              <w:rPr>
                <w:rFonts w:hint="eastAsia" w:ascii="新宋体" w:hAnsi="新宋体" w:eastAsia="新宋体" w:cs="新宋体"/>
                <w:color w:val="auto"/>
                <w:sz w:val="22"/>
                <w:szCs w:val="22"/>
                <w:highlight w:val="none"/>
                <w:lang w:val="en-US" w:eastAsia="zh-CN"/>
              </w:rPr>
              <w:t>。</w:t>
            </w:r>
          </w:p>
        </w:tc>
      </w:tr>
      <w:tr w14:paraId="760E3C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690A47F7">
            <w:pPr>
              <w:snapToGrid w:val="0"/>
              <w:spacing w:line="460" w:lineRule="exact"/>
              <w:jc w:val="center"/>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11</w:t>
            </w:r>
          </w:p>
        </w:tc>
        <w:tc>
          <w:tcPr>
            <w:tcW w:w="9031" w:type="dxa"/>
            <w:tcBorders>
              <w:top w:val="single" w:color="000000" w:sz="2" w:space="0"/>
              <w:left w:val="single" w:color="000000" w:sz="2" w:space="0"/>
              <w:bottom w:val="single" w:color="000000" w:sz="2" w:space="0"/>
              <w:right w:val="single" w:color="000000" w:sz="8" w:space="0"/>
            </w:tcBorders>
            <w:vAlign w:val="center"/>
          </w:tcPr>
          <w:p w14:paraId="0093F22A">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电子加密投标文件的解密和异常情况处理：</w:t>
            </w:r>
          </w:p>
          <w:p w14:paraId="6C00DE0D">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（1）开标后，采购组织机构将向各投标人发出“电子加密投标文件”的解密通知，各投标人代表应当在接到解密通知后在系统规定时间内自行完成“电子加密投标文件”的在线解密。</w:t>
            </w:r>
          </w:p>
          <w:p w14:paraId="4179FD4A">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（2）通过“</w:t>
            </w:r>
            <w:r>
              <w:rPr>
                <w:rFonts w:hint="eastAsia" w:ascii="新宋体" w:hAnsi="新宋体" w:eastAsia="新宋体" w:cs="新宋体"/>
                <w:color w:val="auto"/>
                <w:sz w:val="22"/>
                <w:szCs w:val="22"/>
                <w:highlight w:val="none"/>
                <w:lang w:eastAsia="zh-CN"/>
              </w:rPr>
              <w:t>政采云平台</w:t>
            </w:r>
            <w:r>
              <w:rPr>
                <w:rFonts w:hint="eastAsia" w:ascii="新宋体" w:hAnsi="新宋体" w:eastAsia="新宋体" w:cs="新宋体"/>
                <w:color w:val="auto"/>
                <w:sz w:val="22"/>
                <w:szCs w:val="22"/>
                <w:highlight w:val="none"/>
              </w:rPr>
              <w:t>”成功上传递交的“电子加密投标文件”无法按时解密，投标人如按规定递交了“备份投标文件”的，以“备份投标文件”为依据（由采购组织机构按“</w:t>
            </w:r>
            <w:r>
              <w:rPr>
                <w:rFonts w:hint="eastAsia" w:ascii="新宋体" w:hAnsi="新宋体" w:eastAsia="新宋体" w:cs="新宋体"/>
                <w:color w:val="auto"/>
                <w:sz w:val="22"/>
                <w:szCs w:val="22"/>
                <w:highlight w:val="none"/>
                <w:lang w:eastAsia="zh-CN"/>
              </w:rPr>
              <w:t>政采云平台</w:t>
            </w:r>
            <w:r>
              <w:rPr>
                <w:rFonts w:hint="eastAsia" w:ascii="新宋体" w:hAnsi="新宋体" w:eastAsia="新宋体" w:cs="新宋体"/>
                <w:color w:val="auto"/>
                <w:sz w:val="22"/>
                <w:szCs w:val="22"/>
                <w:highlight w:val="none"/>
              </w:rPr>
              <w:t>”操作规范将“备份投标文件”上传至“</w:t>
            </w:r>
            <w:r>
              <w:rPr>
                <w:rFonts w:hint="eastAsia" w:ascii="新宋体" w:hAnsi="新宋体" w:eastAsia="新宋体" w:cs="新宋体"/>
                <w:color w:val="auto"/>
                <w:sz w:val="22"/>
                <w:szCs w:val="22"/>
                <w:highlight w:val="none"/>
                <w:lang w:eastAsia="zh-CN"/>
              </w:rPr>
              <w:t>政采云平台</w:t>
            </w:r>
            <w:r>
              <w:rPr>
                <w:rFonts w:hint="eastAsia" w:ascii="新宋体" w:hAnsi="新宋体" w:eastAsia="新宋体" w:cs="新宋体"/>
                <w:color w:val="auto"/>
                <w:sz w:val="22"/>
                <w:szCs w:val="22"/>
                <w:highlight w:val="none"/>
              </w:rPr>
              <w:t>”，上传成功后，“电子加密投标文件”自动失效），否则视为投标文件撤回。</w:t>
            </w:r>
          </w:p>
          <w:p w14:paraId="21155F0B">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（3）投标截止时间前，投标人仅递交了“备份投标文件”而未将电子加密投标文件上传至“</w:t>
            </w:r>
            <w:r>
              <w:rPr>
                <w:rFonts w:hint="eastAsia" w:ascii="新宋体" w:hAnsi="新宋体" w:eastAsia="新宋体" w:cs="新宋体"/>
                <w:color w:val="auto"/>
                <w:sz w:val="22"/>
                <w:szCs w:val="22"/>
                <w:highlight w:val="none"/>
                <w:lang w:eastAsia="zh-CN"/>
              </w:rPr>
              <w:t>政采云平台</w:t>
            </w:r>
            <w:r>
              <w:rPr>
                <w:rFonts w:hint="eastAsia" w:ascii="新宋体" w:hAnsi="新宋体" w:eastAsia="新宋体" w:cs="新宋体"/>
                <w:color w:val="auto"/>
                <w:sz w:val="22"/>
                <w:szCs w:val="22"/>
                <w:highlight w:val="none"/>
              </w:rPr>
              <w:t>”的，投标无效。</w:t>
            </w:r>
          </w:p>
        </w:tc>
      </w:tr>
      <w:tr w14:paraId="08E021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506" w:hRule="atLeast"/>
          <w:jc w:val="center"/>
        </w:trPr>
        <w:tc>
          <w:tcPr>
            <w:tcW w:w="632" w:type="dxa"/>
            <w:tcBorders>
              <w:top w:val="single" w:color="000000" w:sz="2" w:space="0"/>
              <w:left w:val="single" w:color="000000" w:sz="2" w:space="0"/>
              <w:bottom w:val="single" w:color="000000" w:sz="2" w:space="0"/>
              <w:right w:val="single" w:color="000000" w:sz="2" w:space="0"/>
            </w:tcBorders>
            <w:vAlign w:val="center"/>
          </w:tcPr>
          <w:p w14:paraId="6F1D8C20">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kern w:val="2"/>
                <w:sz w:val="22"/>
                <w:szCs w:val="22"/>
                <w:highlight w:val="none"/>
                <w:lang w:val="en-US" w:eastAsia="zh-CN" w:bidi="ar-SA"/>
              </w:rPr>
              <w:t>12</w:t>
            </w:r>
          </w:p>
        </w:tc>
        <w:tc>
          <w:tcPr>
            <w:tcW w:w="9031" w:type="dxa"/>
            <w:tcBorders>
              <w:top w:val="single" w:color="000000" w:sz="2" w:space="0"/>
              <w:left w:val="single" w:color="000000" w:sz="2" w:space="0"/>
              <w:bottom w:val="single" w:color="000000" w:sz="2" w:space="0"/>
              <w:right w:val="single" w:color="000000" w:sz="2" w:space="0"/>
            </w:tcBorders>
            <w:vAlign w:val="center"/>
          </w:tcPr>
          <w:p w14:paraId="45367AFE">
            <w:pPr>
              <w:snapToGrid w:val="0"/>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投标截止时间：</w:t>
            </w:r>
            <w:r>
              <w:rPr>
                <w:rFonts w:hint="eastAsia" w:ascii="新宋体" w:hAnsi="新宋体" w:eastAsia="新宋体" w:cs="新宋体"/>
                <w:b/>
                <w:bCs/>
                <w:color w:val="auto"/>
                <w:sz w:val="22"/>
                <w:szCs w:val="22"/>
                <w:highlight w:val="none"/>
                <w:lang w:val="en-US" w:eastAsia="zh-CN"/>
              </w:rPr>
              <w:t>详见招标公告。</w:t>
            </w:r>
          </w:p>
          <w:p w14:paraId="2874B003">
            <w:pPr>
              <w:tabs>
                <w:tab w:val="left" w:pos="36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投标地点：</w:t>
            </w:r>
            <w:r>
              <w:rPr>
                <w:rFonts w:hint="eastAsia" w:ascii="新宋体" w:hAnsi="新宋体" w:eastAsia="新宋体" w:cs="新宋体"/>
                <w:b/>
                <w:bCs/>
                <w:color w:val="auto"/>
                <w:sz w:val="22"/>
                <w:szCs w:val="22"/>
                <w:highlight w:val="none"/>
                <w:lang w:val="en-US" w:eastAsia="zh-CN"/>
              </w:rPr>
              <w:t>详见招标公告。</w:t>
            </w:r>
          </w:p>
        </w:tc>
      </w:tr>
      <w:tr w14:paraId="74AB80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auto" w:sz="4" w:space="0"/>
              <w:right w:val="single" w:color="000000" w:sz="2" w:space="0"/>
            </w:tcBorders>
            <w:vAlign w:val="center"/>
          </w:tcPr>
          <w:p w14:paraId="7B227EB4">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3</w:t>
            </w:r>
          </w:p>
        </w:tc>
        <w:tc>
          <w:tcPr>
            <w:tcW w:w="9031" w:type="dxa"/>
            <w:tcBorders>
              <w:top w:val="single" w:color="000000" w:sz="2" w:space="0"/>
              <w:left w:val="single" w:color="000000" w:sz="2" w:space="0"/>
              <w:bottom w:val="single" w:color="auto" w:sz="4" w:space="0"/>
              <w:right w:val="single" w:color="000000" w:sz="8" w:space="0"/>
            </w:tcBorders>
            <w:vAlign w:val="center"/>
          </w:tcPr>
          <w:p w14:paraId="7A5DA40B">
            <w:pPr>
              <w:widowControl/>
              <w:snapToGrid w:val="0"/>
              <w:spacing w:line="460" w:lineRule="exact"/>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开标时间和地点：</w:t>
            </w:r>
            <w:r>
              <w:rPr>
                <w:rFonts w:hint="eastAsia" w:ascii="新宋体" w:hAnsi="新宋体" w:eastAsia="新宋体" w:cs="新宋体"/>
                <w:b/>
                <w:bCs/>
                <w:color w:val="auto"/>
                <w:sz w:val="22"/>
                <w:szCs w:val="22"/>
                <w:highlight w:val="none"/>
                <w:lang w:val="en-US" w:eastAsia="zh-CN"/>
              </w:rPr>
              <w:t>详见招标公告。</w:t>
            </w:r>
          </w:p>
          <w:p w14:paraId="3FEE3DCE">
            <w:pPr>
              <w:widowControl/>
              <w:snapToGrid w:val="0"/>
              <w:spacing w:line="460" w:lineRule="exact"/>
              <w:jc w:val="left"/>
              <w:rPr>
                <w:rFonts w:hint="eastAsia" w:ascii="新宋体" w:hAnsi="新宋体" w:eastAsia="新宋体" w:cs="新宋体"/>
                <w:color w:val="auto"/>
                <w:sz w:val="22"/>
                <w:szCs w:val="22"/>
                <w:highlight w:val="none"/>
                <w:lang w:eastAsia="zh-CN"/>
              </w:rPr>
            </w:pPr>
            <w:r>
              <w:rPr>
                <w:rFonts w:hint="eastAsia" w:ascii="新宋体" w:hAnsi="新宋体" w:eastAsia="新宋体" w:cs="新宋体"/>
                <w:b/>
                <w:bCs/>
                <w:color w:val="auto"/>
                <w:sz w:val="22"/>
                <w:szCs w:val="22"/>
                <w:highlight w:val="none"/>
              </w:rPr>
              <w:t>地点：</w:t>
            </w:r>
            <w:r>
              <w:rPr>
                <w:rFonts w:hint="eastAsia" w:ascii="新宋体" w:hAnsi="新宋体" w:eastAsia="新宋体" w:cs="新宋体"/>
                <w:b/>
                <w:bCs/>
                <w:color w:val="auto"/>
                <w:sz w:val="22"/>
                <w:szCs w:val="22"/>
                <w:highlight w:val="none"/>
                <w:lang w:val="en-US" w:eastAsia="zh-CN"/>
              </w:rPr>
              <w:t>详见招标公告。</w:t>
            </w:r>
          </w:p>
        </w:tc>
      </w:tr>
      <w:tr w14:paraId="316EDD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auto" w:sz="4" w:space="0"/>
              <w:right w:val="single" w:color="000000" w:sz="2" w:space="0"/>
            </w:tcBorders>
            <w:vAlign w:val="center"/>
          </w:tcPr>
          <w:p w14:paraId="6EFCCA53">
            <w:pPr>
              <w:snapToGrid w:val="0"/>
              <w:spacing w:line="460" w:lineRule="exact"/>
              <w:jc w:val="center"/>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14</w:t>
            </w:r>
          </w:p>
        </w:tc>
        <w:tc>
          <w:tcPr>
            <w:tcW w:w="9031" w:type="dxa"/>
            <w:tcBorders>
              <w:top w:val="single" w:color="000000" w:sz="2" w:space="0"/>
              <w:left w:val="single" w:color="000000" w:sz="2" w:space="0"/>
              <w:bottom w:val="single" w:color="auto" w:sz="4" w:space="0"/>
              <w:right w:val="single" w:color="000000" w:sz="8" w:space="0"/>
            </w:tcBorders>
            <w:vAlign w:val="center"/>
          </w:tcPr>
          <w:p w14:paraId="73A2CBC9">
            <w:pPr>
              <w:widowControl/>
              <w:snapToGrid w:val="0"/>
              <w:spacing w:line="460" w:lineRule="exact"/>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bidi="ar"/>
              </w:rPr>
              <w:t>评审地点：温州市政务服务管理中心温州市会展路1268号A座3楼。</w:t>
            </w:r>
          </w:p>
        </w:tc>
      </w:tr>
      <w:tr w14:paraId="2BBE89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auto" w:sz="4" w:space="0"/>
              <w:left w:val="single" w:color="000000" w:sz="8" w:space="0"/>
              <w:bottom w:val="single" w:color="auto" w:sz="4" w:space="0"/>
              <w:right w:val="single" w:color="000000" w:sz="2" w:space="0"/>
            </w:tcBorders>
            <w:vAlign w:val="center"/>
          </w:tcPr>
          <w:p w14:paraId="1D3F617D">
            <w:pPr>
              <w:widowControl/>
              <w:snapToGrid w:val="0"/>
              <w:spacing w:line="460" w:lineRule="exact"/>
              <w:jc w:val="center"/>
              <w:textAlignment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kern w:val="0"/>
                <w:sz w:val="22"/>
                <w:szCs w:val="22"/>
                <w:highlight w:val="none"/>
                <w:lang w:val="en-US" w:eastAsia="zh-CN"/>
              </w:rPr>
              <w:t>15</w:t>
            </w:r>
          </w:p>
        </w:tc>
        <w:tc>
          <w:tcPr>
            <w:tcW w:w="9031" w:type="dxa"/>
            <w:tcBorders>
              <w:top w:val="single" w:color="auto" w:sz="4" w:space="0"/>
              <w:left w:val="single" w:color="000000" w:sz="2" w:space="0"/>
              <w:bottom w:val="single" w:color="auto" w:sz="4" w:space="0"/>
              <w:right w:val="single" w:color="000000" w:sz="8" w:space="0"/>
            </w:tcBorders>
            <w:vAlign w:val="center"/>
          </w:tcPr>
          <w:p w14:paraId="6A037DF1">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带“▲”条款系指实质性要求条款</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“★”是关键技术参数及要求。</w:t>
            </w:r>
          </w:p>
        </w:tc>
      </w:tr>
      <w:tr w14:paraId="60424D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auto" w:sz="4" w:space="0"/>
              <w:left w:val="single" w:color="000000" w:sz="8" w:space="0"/>
              <w:bottom w:val="single" w:color="auto" w:sz="4" w:space="0"/>
              <w:right w:val="single" w:color="000000" w:sz="2" w:space="0"/>
            </w:tcBorders>
            <w:vAlign w:val="center"/>
          </w:tcPr>
          <w:p w14:paraId="21AC0CC4">
            <w:pPr>
              <w:widowControl/>
              <w:snapToGrid w:val="0"/>
              <w:spacing w:line="460" w:lineRule="exact"/>
              <w:jc w:val="center"/>
              <w:textAlignment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kern w:val="0"/>
                <w:sz w:val="22"/>
                <w:szCs w:val="22"/>
                <w:highlight w:val="none"/>
              </w:rPr>
              <w:t>1</w:t>
            </w:r>
            <w:r>
              <w:rPr>
                <w:rFonts w:hint="eastAsia" w:ascii="新宋体" w:hAnsi="新宋体" w:eastAsia="新宋体" w:cs="新宋体"/>
                <w:b/>
                <w:bCs/>
                <w:color w:val="auto"/>
                <w:kern w:val="0"/>
                <w:sz w:val="22"/>
                <w:szCs w:val="22"/>
                <w:highlight w:val="none"/>
                <w:lang w:val="en-US" w:eastAsia="zh-CN"/>
              </w:rPr>
              <w:t>6</w:t>
            </w:r>
          </w:p>
        </w:tc>
        <w:tc>
          <w:tcPr>
            <w:tcW w:w="9031" w:type="dxa"/>
            <w:tcBorders>
              <w:top w:val="single" w:color="auto" w:sz="4" w:space="0"/>
              <w:left w:val="single" w:color="000000" w:sz="2" w:space="0"/>
              <w:bottom w:val="single" w:color="auto" w:sz="4" w:space="0"/>
              <w:right w:val="single" w:color="000000" w:sz="8" w:space="0"/>
            </w:tcBorders>
            <w:vAlign w:val="center"/>
          </w:tcPr>
          <w:p w14:paraId="689CE44B">
            <w:pPr>
              <w:widowControl/>
              <w:snapToGrid w:val="0"/>
              <w:spacing w:line="460" w:lineRule="exact"/>
              <w:jc w:val="lef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为优化政府采购金融服务，为投标人参与信用融资提供便利，中标投标人可通过“</w:t>
            </w:r>
            <w:r>
              <w:rPr>
                <w:rFonts w:hint="eastAsia" w:ascii="新宋体" w:hAnsi="新宋体" w:eastAsia="新宋体" w:cs="新宋体"/>
                <w:color w:val="auto"/>
                <w:sz w:val="22"/>
                <w:szCs w:val="22"/>
                <w:highlight w:val="none"/>
                <w:lang w:eastAsia="zh-CN"/>
              </w:rPr>
              <w:t>政采云平台</w:t>
            </w:r>
            <w:r>
              <w:rPr>
                <w:rFonts w:hint="eastAsia" w:ascii="新宋体" w:hAnsi="新宋体" w:eastAsia="新宋体" w:cs="新宋体"/>
                <w:color w:val="auto"/>
                <w:sz w:val="22"/>
                <w:szCs w:val="22"/>
                <w:highlight w:val="none"/>
              </w:rPr>
              <w:t>金融服务中心”了解有关金融政采贷相关信息。详情请查看：</w:t>
            </w:r>
            <w:r>
              <w:rPr>
                <w:rFonts w:hint="eastAsia" w:ascii="新宋体" w:hAnsi="新宋体" w:eastAsia="新宋体" w:cs="新宋体"/>
                <w:b/>
                <w:bCs/>
                <w:color w:val="auto"/>
                <w:sz w:val="22"/>
                <w:szCs w:val="22"/>
                <w:highlight w:val="none"/>
              </w:rPr>
              <w:t>https://jinrong.zcygov.cn/</w:t>
            </w:r>
          </w:p>
        </w:tc>
      </w:tr>
      <w:tr w14:paraId="058023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159375C3">
            <w:pPr>
              <w:widowControl/>
              <w:snapToGrid w:val="0"/>
              <w:spacing w:line="460" w:lineRule="exact"/>
              <w:jc w:val="center"/>
              <w:textAlignment w:val="center"/>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17</w:t>
            </w:r>
          </w:p>
        </w:tc>
        <w:tc>
          <w:tcPr>
            <w:tcW w:w="9031" w:type="dxa"/>
            <w:tcBorders>
              <w:top w:val="single" w:color="000000" w:sz="2" w:space="0"/>
              <w:left w:val="single" w:color="000000" w:sz="2" w:space="0"/>
              <w:bottom w:val="single" w:color="000000" w:sz="2" w:space="0"/>
              <w:right w:val="single" w:color="000000" w:sz="8" w:space="0"/>
            </w:tcBorders>
            <w:vAlign w:val="center"/>
          </w:tcPr>
          <w:p w14:paraId="22BAA9A4">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color w:val="auto"/>
                <w:kern w:val="10"/>
                <w:sz w:val="22"/>
                <w:szCs w:val="22"/>
                <w:highlight w:val="none"/>
              </w:rPr>
              <w:t>潜在投标人需在</w:t>
            </w:r>
            <w:r>
              <w:rPr>
                <w:rFonts w:hint="eastAsia" w:ascii="新宋体" w:hAnsi="新宋体" w:eastAsia="新宋体" w:cs="新宋体"/>
                <w:b/>
                <w:color w:val="auto"/>
                <w:kern w:val="10"/>
                <w:sz w:val="22"/>
                <w:szCs w:val="22"/>
                <w:highlight w:val="none"/>
                <w:lang w:eastAsia="zh-CN"/>
              </w:rPr>
              <w:t>政采云平台https://zfcg.czt.zj.gov.cn/</w:t>
            </w:r>
            <w:r>
              <w:rPr>
                <w:rFonts w:hint="eastAsia" w:ascii="新宋体" w:hAnsi="新宋体" w:eastAsia="新宋体" w:cs="新宋体"/>
                <w:b/>
                <w:color w:val="auto"/>
                <w:kern w:val="10"/>
                <w:sz w:val="22"/>
                <w:szCs w:val="22"/>
                <w:highlight w:val="none"/>
              </w:rPr>
              <w:t>进行免费注册，具体详见</w:t>
            </w:r>
            <w:r>
              <w:rPr>
                <w:rFonts w:hint="eastAsia" w:ascii="新宋体" w:hAnsi="新宋体" w:eastAsia="新宋体" w:cs="新宋体"/>
                <w:b/>
                <w:color w:val="auto"/>
                <w:kern w:val="10"/>
                <w:sz w:val="22"/>
                <w:szCs w:val="22"/>
                <w:highlight w:val="none"/>
                <w:lang w:eastAsia="zh-CN"/>
              </w:rPr>
              <w:t>政采云平台</w:t>
            </w:r>
            <w:r>
              <w:rPr>
                <w:rFonts w:hint="eastAsia" w:ascii="新宋体" w:hAnsi="新宋体" w:eastAsia="新宋体" w:cs="新宋体"/>
                <w:b/>
                <w:color w:val="auto"/>
                <w:kern w:val="10"/>
                <w:sz w:val="22"/>
                <w:szCs w:val="22"/>
                <w:highlight w:val="none"/>
              </w:rPr>
              <w:t>投标人注册要求。</w:t>
            </w:r>
          </w:p>
        </w:tc>
      </w:tr>
      <w:tr w14:paraId="7245C1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53978DCF">
            <w:pPr>
              <w:widowControl/>
              <w:snapToGrid w:val="0"/>
              <w:spacing w:line="460" w:lineRule="exact"/>
              <w:jc w:val="center"/>
              <w:textAlignment w:val="center"/>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kern w:val="0"/>
                <w:sz w:val="22"/>
                <w:szCs w:val="22"/>
                <w:highlight w:val="none"/>
              </w:rPr>
              <w:t>1</w:t>
            </w:r>
            <w:r>
              <w:rPr>
                <w:rFonts w:hint="eastAsia" w:ascii="新宋体" w:hAnsi="新宋体" w:eastAsia="新宋体" w:cs="新宋体"/>
                <w:b/>
                <w:bCs/>
                <w:color w:val="auto"/>
                <w:kern w:val="0"/>
                <w:sz w:val="22"/>
                <w:szCs w:val="22"/>
                <w:highlight w:val="none"/>
                <w:lang w:val="en-US" w:eastAsia="zh-CN"/>
              </w:rPr>
              <w:t>8</w:t>
            </w:r>
          </w:p>
        </w:tc>
        <w:tc>
          <w:tcPr>
            <w:tcW w:w="9031" w:type="dxa"/>
            <w:tcBorders>
              <w:top w:val="single" w:color="000000" w:sz="2" w:space="0"/>
              <w:left w:val="single" w:color="000000" w:sz="2" w:space="0"/>
              <w:bottom w:val="single" w:color="000000" w:sz="2" w:space="0"/>
              <w:right w:val="single" w:color="000000" w:sz="8" w:space="0"/>
            </w:tcBorders>
            <w:vAlign w:val="center"/>
          </w:tcPr>
          <w:p w14:paraId="6948E470">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1、扶持中小企业（监狱企业、残疾人福利性单位）：</w:t>
            </w:r>
          </w:p>
          <w:p w14:paraId="1D0621D1">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根据《政府采购促进中小企业发展管理办法》（财库〔2020〕46号），本单位在政府采购活动中应当通过加强采购需求管理，落实预留采购份额，价格评审优惠、优先采购等措施，提高中小企业在政府采购中的份额，支持中小企业发展。项目相关情况如下：</w:t>
            </w:r>
          </w:p>
          <w:p w14:paraId="4EAF5EBA">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（1）项目预算：</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u w:val="single"/>
                <w:lang w:val="en-US" w:eastAsia="zh-CN"/>
              </w:rPr>
              <w:t>1400000.00</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rPr>
              <w:t>元</w:t>
            </w:r>
          </w:p>
          <w:p w14:paraId="55E396B1">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（2）项目属性：</w:t>
            </w:r>
            <w:r>
              <w:rPr>
                <w:rFonts w:hint="eastAsia" w:ascii="新宋体" w:hAnsi="新宋体" w:eastAsia="新宋体" w:cs="新宋体"/>
                <w:color w:val="auto"/>
                <w:kern w:val="0"/>
                <w:sz w:val="22"/>
                <w:szCs w:val="22"/>
                <w:highlight w:val="none"/>
                <w:u w:val="single"/>
              </w:rPr>
              <w:t>  ②服务类  </w:t>
            </w:r>
            <w:r>
              <w:rPr>
                <w:rFonts w:hint="eastAsia" w:ascii="新宋体" w:hAnsi="新宋体" w:eastAsia="新宋体" w:cs="新宋体"/>
                <w:color w:val="auto"/>
                <w:kern w:val="0"/>
                <w:sz w:val="22"/>
                <w:szCs w:val="22"/>
                <w:highlight w:val="none"/>
              </w:rPr>
              <w:t>（①货物类/②服务类/③工程类）</w:t>
            </w:r>
          </w:p>
          <w:p w14:paraId="47BB1824">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（3）项目对应的中小企业划分标准所属行业：</w:t>
            </w:r>
            <w:r>
              <w:rPr>
                <w:rFonts w:hint="eastAsia" w:ascii="新宋体" w:hAnsi="新宋体" w:eastAsia="新宋体" w:cs="新宋体"/>
                <w:color w:val="auto"/>
                <w:kern w:val="0"/>
                <w:sz w:val="22"/>
                <w:szCs w:val="22"/>
                <w:highlight w:val="none"/>
                <w:u w:val="single"/>
              </w:rPr>
              <w:t> 其他未列明行业 </w:t>
            </w:r>
            <w:r>
              <w:rPr>
                <w:rFonts w:hint="eastAsia" w:ascii="新宋体" w:hAnsi="新宋体" w:eastAsia="新宋体" w:cs="新宋体"/>
                <w:color w:val="auto"/>
                <w:kern w:val="0"/>
                <w:sz w:val="22"/>
                <w:szCs w:val="22"/>
                <w:highlight w:val="none"/>
              </w:rPr>
              <w:t>（具体根据《中小企业划型标准规定》执行）</w:t>
            </w:r>
          </w:p>
          <w:p w14:paraId="1A427149">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现行中小企业划分标准行业包括农、林、牧、渔业，工业，建筑业，批发业，零售业，交通运输业，仓储业，邮政业，住宿业，餐饮业，信息传输业，软件和信息技术服务业，房地产开发经营，物业管理，租赁和商业服务业和其他未列明行业等十六类。）</w:t>
            </w:r>
          </w:p>
          <w:p w14:paraId="6A8878B1">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（4）本项目</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u w:val="single"/>
                <w:lang w:val="en-US" w:eastAsia="zh-CN"/>
              </w:rPr>
              <w:t xml:space="preserve"> 是</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（是/否）属于预留份额专门面向中小企业采购的项目。</w:t>
            </w:r>
          </w:p>
          <w:p w14:paraId="10A21383">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（5）上述第4项中确定为“是”的采购项目，预留份额通过（</w:t>
            </w:r>
            <w:r>
              <w:rPr>
                <w:rFonts w:hint="eastAsia" w:ascii="新宋体" w:hAnsi="新宋体" w:eastAsia="新宋体" w:cs="新宋体"/>
                <w:color w:val="auto"/>
                <w:kern w:val="0"/>
                <w:sz w:val="22"/>
                <w:szCs w:val="22"/>
                <w:highlight w:val="none"/>
                <w:lang w:val="en-US" w:eastAsia="zh-CN"/>
              </w:rPr>
              <w:t xml:space="preserve"> </w:t>
            </w:r>
            <w:r>
              <w:rPr>
                <w:rFonts w:hint="eastAsia" w:ascii="新宋体" w:hAnsi="新宋体" w:eastAsia="新宋体" w:cs="新宋体"/>
                <w:color w:val="auto"/>
                <w:kern w:val="0"/>
                <w:sz w:val="22"/>
                <w:szCs w:val="22"/>
                <w:highlight w:val="none"/>
              </w:rPr>
              <w:t>①</w:t>
            </w:r>
            <w:r>
              <w:rPr>
                <w:rFonts w:hint="eastAsia" w:ascii="新宋体" w:hAnsi="新宋体" w:eastAsia="新宋体" w:cs="新宋体"/>
                <w:color w:val="auto"/>
                <w:kern w:val="0"/>
                <w:sz w:val="22"/>
                <w:szCs w:val="22"/>
                <w:highlight w:val="none"/>
                <w:lang w:val="en-US" w:eastAsia="zh-CN"/>
              </w:rPr>
              <w:t xml:space="preserve"> </w:t>
            </w:r>
            <w:r>
              <w:rPr>
                <w:rFonts w:hint="eastAsia" w:ascii="新宋体" w:hAnsi="新宋体" w:eastAsia="新宋体" w:cs="新宋体"/>
                <w:color w:val="auto"/>
                <w:kern w:val="0"/>
                <w:sz w:val="22"/>
                <w:szCs w:val="22"/>
                <w:highlight w:val="none"/>
              </w:rPr>
              <w:t>）措施进行：</w:t>
            </w:r>
          </w:p>
          <w:p w14:paraId="42A36835">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xml:space="preserve">①将采购项目整体或者设置采购包专门面向中小企业采购； </w:t>
            </w:r>
          </w:p>
          <w:p w14:paraId="40F7F9F5">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②要求供应商以联合体形式参加采购活动，且联合体中中小企业承担的部分达到</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rPr>
              <w:t>比例</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rPr>
              <w:t xml:space="preserve">； </w:t>
            </w:r>
          </w:p>
          <w:p w14:paraId="689A6344">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③要求获得采购合同的供应商将采购项目中的</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rPr>
              <w:t>比例</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rPr>
              <w:t>分包给一家或者多家中小企业。</w:t>
            </w:r>
          </w:p>
          <w:p w14:paraId="3922578E">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（6）对于经主管预算单位统筹后未预留份额专门面向中小企业采购的采购项目，以及预留份额项目中的非预留部分采购包，对符合本办法规定的小微企业报价给予</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u w:val="single"/>
                <w:lang w:val="en-US" w:eastAsia="zh-CN"/>
              </w:rPr>
              <w:t>10%</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val="en-US" w:eastAsia="zh-CN"/>
              </w:rPr>
              <w:t>10</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val="en-US" w:eastAsia="zh-CN"/>
              </w:rPr>
              <w:t>2</w:t>
            </w:r>
            <w:r>
              <w:rPr>
                <w:rFonts w:hint="eastAsia" w:ascii="新宋体" w:hAnsi="新宋体" w:eastAsia="新宋体" w:cs="新宋体"/>
                <w:color w:val="auto"/>
                <w:kern w:val="0"/>
                <w:sz w:val="22"/>
                <w:szCs w:val="22"/>
                <w:highlight w:val="none"/>
              </w:rPr>
              <w:t xml:space="preserve">0%）（工程项目为 3%—5%）的扣除，用扣除后的价格参加评审。 </w:t>
            </w:r>
          </w:p>
          <w:p w14:paraId="7AB31656">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对于接受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u w:val="single"/>
                <w:lang w:val="en-US" w:eastAsia="zh-CN"/>
              </w:rPr>
              <w:t>4%</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val="en-US" w:eastAsia="zh-CN"/>
              </w:rPr>
              <w:t>4</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val="en-US" w:eastAsia="zh-CN"/>
              </w:rPr>
              <w:t>6</w:t>
            </w:r>
            <w:r>
              <w:rPr>
                <w:rFonts w:hint="eastAsia" w:ascii="新宋体" w:hAnsi="新宋体" w:eastAsia="新宋体" w:cs="新宋体"/>
                <w:color w:val="auto"/>
                <w:kern w:val="0"/>
                <w:sz w:val="22"/>
                <w:szCs w:val="22"/>
                <w:highlight w:val="none"/>
              </w:rPr>
              <w:t>%）（工程项目为 1%—2%）的扣除，用扣除后的价格参加评审。</w:t>
            </w:r>
          </w:p>
          <w:p w14:paraId="77864C09">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专门面向中小企业采购的项目或者标项，不再执行价格评审优惠的扶持政策。</w:t>
            </w:r>
          </w:p>
          <w:p w14:paraId="0DBB89B7">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2、节能产品、环境标志产品的强制采购政策</w:t>
            </w:r>
          </w:p>
          <w:p w14:paraId="30471752">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w:t>
            </w:r>
            <w:r>
              <w:rPr>
                <w:rFonts w:hint="eastAsia" w:ascii="新宋体" w:hAnsi="新宋体" w:eastAsia="新宋体" w:cs="新宋体"/>
                <w:color w:val="auto"/>
                <w:kern w:val="0"/>
                <w:sz w:val="22"/>
                <w:szCs w:val="22"/>
                <w:highlight w:val="none"/>
                <w:lang w:eastAsia="zh-CN"/>
              </w:rPr>
              <w:t>招标人</w:t>
            </w:r>
            <w:r>
              <w:rPr>
                <w:rFonts w:hint="eastAsia" w:ascii="新宋体" w:hAnsi="新宋体" w:eastAsia="新宋体" w:cs="新宋体"/>
                <w:color w:val="auto"/>
                <w:kern w:val="0"/>
                <w:sz w:val="22"/>
                <w:szCs w:val="22"/>
                <w:highlight w:val="none"/>
              </w:rPr>
              <w:t>拟采购的产品属于品目清单范围内的强制采购品目的，</w:t>
            </w:r>
            <w:r>
              <w:rPr>
                <w:rFonts w:hint="eastAsia" w:ascii="新宋体" w:hAnsi="新宋体" w:eastAsia="新宋体" w:cs="新宋体"/>
                <w:color w:val="auto"/>
                <w:kern w:val="0"/>
                <w:sz w:val="22"/>
                <w:szCs w:val="22"/>
                <w:highlight w:val="none"/>
                <w:lang w:val="en-US" w:eastAsia="zh-CN"/>
              </w:rPr>
              <w:t>投标</w:t>
            </w:r>
            <w:r>
              <w:rPr>
                <w:rFonts w:hint="eastAsia" w:ascii="新宋体" w:hAnsi="新宋体" w:eastAsia="新宋体" w:cs="新宋体"/>
                <w:color w:val="auto"/>
                <w:kern w:val="0"/>
                <w:sz w:val="22"/>
                <w:szCs w:val="22"/>
                <w:highlight w:val="none"/>
              </w:rPr>
              <w:t>供应商提供的产品应具有国家确定的认证机构出具的、处于有效期之内的节能产品、环境标志产品认证证书，并在响应文件中提供该产品节能产品、环境标志产品认证证书，否则无效。（注：本项目执行最新政府采购节能产品、环境标志产品品目清单。）</w:t>
            </w:r>
          </w:p>
          <w:p w14:paraId="29409706">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3、节能产品、环境标志产品的优先采购政策</w:t>
            </w:r>
          </w:p>
          <w:p w14:paraId="1FADA9F3">
            <w:pPr>
              <w:widowControl/>
              <w:snapToGrid w:val="0"/>
              <w:spacing w:line="460" w:lineRule="exact"/>
              <w:ind w:firstLine="440" w:firstLineChars="200"/>
              <w:jc w:val="left"/>
              <w:rPr>
                <w:rFonts w:hint="eastAsia" w:ascii="新宋体" w:hAnsi="新宋体" w:eastAsia="新宋体" w:cs="新宋体"/>
                <w:b/>
                <w:color w:val="auto"/>
                <w:kern w:val="10"/>
                <w:sz w:val="22"/>
                <w:szCs w:val="22"/>
                <w:highlight w:val="none"/>
              </w:rPr>
            </w:pPr>
            <w:r>
              <w:rPr>
                <w:rFonts w:hint="eastAsia" w:ascii="新宋体" w:hAnsi="新宋体" w:eastAsia="新宋体" w:cs="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w:t>
            </w:r>
            <w:r>
              <w:rPr>
                <w:rFonts w:hint="eastAsia" w:ascii="新宋体" w:hAnsi="新宋体" w:eastAsia="新宋体" w:cs="新宋体"/>
                <w:color w:val="auto"/>
                <w:kern w:val="0"/>
                <w:sz w:val="22"/>
                <w:szCs w:val="22"/>
                <w:highlight w:val="none"/>
                <w:lang w:eastAsia="zh-CN"/>
              </w:rPr>
              <w:t>招标人</w:t>
            </w:r>
            <w:r>
              <w:rPr>
                <w:rFonts w:hint="eastAsia" w:ascii="新宋体" w:hAnsi="新宋体" w:eastAsia="新宋体" w:cs="新宋体"/>
                <w:color w:val="auto"/>
                <w:kern w:val="0"/>
                <w:sz w:val="22"/>
                <w:szCs w:val="22"/>
                <w:highlight w:val="none"/>
              </w:rPr>
              <w:t>拟采购的产品属于品目清单范围内的优先采购品目的，</w:t>
            </w:r>
            <w:r>
              <w:rPr>
                <w:rFonts w:hint="eastAsia" w:ascii="新宋体" w:hAnsi="新宋体" w:eastAsia="新宋体" w:cs="新宋体"/>
                <w:color w:val="auto"/>
                <w:kern w:val="0"/>
                <w:sz w:val="22"/>
                <w:szCs w:val="22"/>
                <w:highlight w:val="none"/>
                <w:lang w:val="en-US" w:eastAsia="zh-CN"/>
              </w:rPr>
              <w:t>投标</w:t>
            </w:r>
            <w:r>
              <w:rPr>
                <w:rFonts w:hint="eastAsia" w:ascii="新宋体" w:hAnsi="新宋体" w:eastAsia="新宋体" w:cs="新宋体"/>
                <w:color w:val="auto"/>
                <w:kern w:val="0"/>
                <w:sz w:val="22"/>
                <w:szCs w:val="22"/>
                <w:highlight w:val="none"/>
              </w:rPr>
              <w:t>供应商提供的产品应具有国家确定的认证机构出具的、处于有效期之内的节能产品、环境标志产品认证证书，并在响应文件中提供该产品节能产品、环境标志产品认证证书，（注：本项目执行最新政府采购节能产品、环境标志产品品目清单。）</w:t>
            </w:r>
          </w:p>
        </w:tc>
      </w:tr>
      <w:tr w14:paraId="30B26A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77AAE892">
            <w:pPr>
              <w:widowControl/>
              <w:snapToGrid w:val="0"/>
              <w:spacing w:line="460" w:lineRule="exact"/>
              <w:jc w:val="center"/>
              <w:textAlignment w:val="center"/>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kern w:val="0"/>
                <w:sz w:val="22"/>
                <w:szCs w:val="22"/>
                <w:highlight w:val="none"/>
                <w:lang w:val="en-US" w:eastAsia="zh-CN"/>
              </w:rPr>
              <w:t>19</w:t>
            </w:r>
          </w:p>
        </w:tc>
        <w:tc>
          <w:tcPr>
            <w:tcW w:w="9031" w:type="dxa"/>
            <w:tcBorders>
              <w:top w:val="single" w:color="000000" w:sz="2" w:space="0"/>
              <w:left w:val="single" w:color="000000" w:sz="2" w:space="0"/>
              <w:bottom w:val="single" w:color="000000" w:sz="2" w:space="0"/>
              <w:right w:val="single" w:color="000000" w:sz="8" w:space="0"/>
            </w:tcBorders>
            <w:vAlign w:val="center"/>
          </w:tcPr>
          <w:p w14:paraId="18795D3A">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根据《关于在政府采购活动中查询及使用信用记录有关问题的通知》财库[2016]125号的规定：</w:t>
            </w:r>
          </w:p>
          <w:p w14:paraId="264A274B">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（1）招标人或</w:t>
            </w:r>
            <w:r>
              <w:rPr>
                <w:rFonts w:hint="eastAsia" w:ascii="新宋体" w:hAnsi="新宋体" w:eastAsia="新宋体" w:cs="新宋体"/>
                <w:color w:val="auto"/>
                <w:sz w:val="22"/>
                <w:szCs w:val="22"/>
                <w:highlight w:val="none"/>
                <w:lang w:eastAsia="zh-CN"/>
              </w:rPr>
              <w:t>招标代理机构</w:t>
            </w:r>
            <w:r>
              <w:rPr>
                <w:rFonts w:hint="eastAsia" w:ascii="新宋体" w:hAnsi="新宋体" w:eastAsia="新宋体" w:cs="新宋体"/>
                <w:color w:val="auto"/>
                <w:sz w:val="22"/>
                <w:szCs w:val="22"/>
                <w:highlight w:val="none"/>
              </w:rPr>
              <w:t>将对本项目投标人的信用记录进行查询。查询渠道为信用中国网站（</w:t>
            </w:r>
            <w:bookmarkStart w:id="11" w:name="OLE_LINK8"/>
            <w:r>
              <w:rPr>
                <w:rFonts w:hint="eastAsia" w:ascii="新宋体" w:hAnsi="新宋体" w:eastAsia="新宋体" w:cs="新宋体"/>
                <w:color w:val="auto"/>
                <w:sz w:val="22"/>
                <w:szCs w:val="22"/>
                <w:highlight w:val="none"/>
              </w:rPr>
              <w:t>https://www.creditchina.gov.cn/</w:t>
            </w:r>
            <w:bookmarkEnd w:id="11"/>
            <w:r>
              <w:rPr>
                <w:rFonts w:hint="eastAsia" w:ascii="新宋体" w:hAnsi="新宋体" w:eastAsia="新宋体" w:cs="新宋体"/>
                <w:color w:val="auto"/>
                <w:sz w:val="22"/>
                <w:szCs w:val="22"/>
                <w:highlight w:val="none"/>
              </w:rPr>
              <w:t>）、中国政府采购网（</w:t>
            </w:r>
            <w:bookmarkStart w:id="12" w:name="OLE_LINK10"/>
            <w:r>
              <w:rPr>
                <w:rFonts w:hint="eastAsia" w:ascii="新宋体" w:hAnsi="新宋体" w:eastAsia="新宋体" w:cs="新宋体"/>
                <w:color w:val="auto"/>
                <w:sz w:val="22"/>
                <w:szCs w:val="22"/>
                <w:highlight w:val="none"/>
              </w:rPr>
              <w:t>http://www.ccgp.gov.cn/</w:t>
            </w:r>
            <w:bookmarkEnd w:id="12"/>
            <w:r>
              <w:rPr>
                <w:rFonts w:hint="eastAsia" w:ascii="新宋体" w:hAnsi="新宋体" w:eastAsia="新宋体" w:cs="新宋体"/>
                <w:color w:val="auto"/>
                <w:sz w:val="22"/>
                <w:szCs w:val="22"/>
                <w:highlight w:val="none"/>
              </w:rPr>
              <w:t>）；</w:t>
            </w:r>
          </w:p>
          <w:p w14:paraId="7606B280">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（2）截止时点：提交投标文件（响应文件）截止时间前3年内；</w:t>
            </w:r>
          </w:p>
          <w:p w14:paraId="4DCAF20F">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（3）查询记录和证据的留存：信用信息查询记录和证据以网页截图等方式留存。</w:t>
            </w:r>
          </w:p>
          <w:p w14:paraId="33A75F58">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（4）使用规则：被列入失信被执行人、重大税收违法案件当事人名单、政府采购严重违法失信行为记录名单及其它不符合《中华人民共和国政府采购法》第二十二条规定条件的，其投标将被拒绝。</w:t>
            </w:r>
          </w:p>
          <w:p w14:paraId="3F89E19A">
            <w:pPr>
              <w:snapToGrid w:val="0"/>
              <w:spacing w:line="460" w:lineRule="exact"/>
              <w:ind w:left="105" w:leftChars="50"/>
              <w:rPr>
                <w:rFonts w:hint="eastAsia" w:ascii="新宋体" w:hAnsi="新宋体" w:eastAsia="新宋体" w:cs="新宋体"/>
                <w:b/>
                <w:color w:val="auto"/>
                <w:kern w:val="10"/>
                <w:sz w:val="22"/>
                <w:szCs w:val="22"/>
                <w:highlight w:val="none"/>
              </w:rPr>
            </w:pPr>
            <w:r>
              <w:rPr>
                <w:rFonts w:hint="eastAsia" w:ascii="新宋体" w:hAnsi="新宋体" w:eastAsia="新宋体" w:cs="新宋体"/>
                <w:b/>
                <w:bCs/>
                <w:color w:val="auto"/>
                <w:sz w:val="22"/>
                <w:szCs w:val="22"/>
                <w:highlight w:val="none"/>
                <w:u w:val="single"/>
              </w:rPr>
              <w:t>（5）联合体投标时，对所有联合体成员进行信用记录查询，联合体成员任意一方存在不良信用记录的，视同联合体存在不良信用记录。</w:t>
            </w:r>
          </w:p>
        </w:tc>
      </w:tr>
    </w:tbl>
    <w:p w14:paraId="53D785F9">
      <w:pPr>
        <w:spacing w:before="100" w:beforeAutospacing="1" w:after="100" w:afterAutospacing="1" w:line="460" w:lineRule="exact"/>
        <w:jc w:val="center"/>
        <w:outlineLvl w:val="2"/>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6"/>
          <w:szCs w:val="26"/>
          <w:highlight w:val="none"/>
        </w:rPr>
        <w:br w:type="page"/>
      </w:r>
      <w:bookmarkStart w:id="13" w:name="_Toc9399"/>
      <w:r>
        <w:rPr>
          <w:rFonts w:hint="eastAsia" w:ascii="新宋体" w:hAnsi="新宋体" w:eastAsia="新宋体" w:cs="新宋体"/>
          <w:b/>
          <w:bCs/>
          <w:color w:val="auto"/>
          <w:sz w:val="26"/>
          <w:szCs w:val="26"/>
          <w:highlight w:val="none"/>
        </w:rPr>
        <w:t>一、 说   明</w:t>
      </w:r>
      <w:bookmarkEnd w:id="13"/>
    </w:p>
    <w:p w14:paraId="575A22B4">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本次招标是参考《中华人民共和国政府采购法》、《政府采购货物和服务招标投标管理办法》、《中华人民共和国政府采购法实施条例》和《关于进一步规范政府采购活动的若干意见》等法律及有关法规组织和实施的。</w:t>
      </w:r>
    </w:p>
    <w:p w14:paraId="33F73F6A">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2、定义</w:t>
      </w:r>
    </w:p>
    <w:p w14:paraId="50F4EE6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招标人：是指依法进行采购的国家机关、事业单位、团体组织</w:t>
      </w:r>
    </w:p>
    <w:p w14:paraId="5C9BA69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招标代理机构：受招标人委托，在委托的范围内办理采购事宜的机构；</w:t>
      </w:r>
    </w:p>
    <w:p w14:paraId="08E26A0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投标人：是指参加本采购项目投标的供应商；</w:t>
      </w:r>
    </w:p>
    <w:p w14:paraId="67A0166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投标人代表：是指参加本项目投标活动的供应商法定代表人或法定代表人授权代表；</w:t>
      </w:r>
    </w:p>
    <w:p w14:paraId="2569093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投标联合体：是指两个以上供应商组成联合体，以一个供应商的身份参加投标；</w:t>
      </w:r>
    </w:p>
    <w:p w14:paraId="5C56EAC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甲方：是指合同签订的一方，一般与招标人、用户相同；</w:t>
      </w:r>
    </w:p>
    <w:p w14:paraId="599B368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乙方：是指合同签订的另一方，与中标人相同；</w:t>
      </w:r>
    </w:p>
    <w:p w14:paraId="11BA1F2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制造商：是指拥有投标产品自主知识产权的单位；</w:t>
      </w:r>
    </w:p>
    <w:p w14:paraId="4EF6F68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highlight w:val="none"/>
        </w:rPr>
      </w:pPr>
      <w:r>
        <w:rPr>
          <w:rFonts w:hint="eastAsia" w:ascii="新宋体" w:hAnsi="新宋体" w:eastAsia="新宋体" w:cs="新宋体"/>
          <w:color w:val="auto"/>
          <w:sz w:val="22"/>
          <w:szCs w:val="22"/>
          <w:highlight w:val="none"/>
        </w:rPr>
        <w:t>带“▲”条款系指实质性要求条款</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“★”是关键技术参数及要求。</w:t>
      </w:r>
    </w:p>
    <w:p w14:paraId="2D9F6C1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3、投标人代表</w:t>
      </w:r>
    </w:p>
    <w:p w14:paraId="11B85B5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3.1指全权代表投标人参加投标活动并签署投标文件的人，如果投标人代表不是法定代表人，须持有《法定代表人授权书》（见附件）。</w:t>
      </w:r>
    </w:p>
    <w:p w14:paraId="0899FC5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根据政府采购相关法律、法规、规章、文件规定并满足招标文件规定资格条件的区域性分支机构、个体工商户、个人独资企业、合伙企业参加本项目投标并由单位负责人签署的相关投标资料与本招标文件规定由法定代表人签署的的文件材料具有同等效力。</w:t>
      </w:r>
    </w:p>
    <w:p w14:paraId="005C8C96">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4、投标费用</w:t>
      </w:r>
    </w:p>
    <w:p w14:paraId="439C726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投标人应承担所有与准备和参加投标有关费用，不论投标的结果如何，招标人或招标代理机构均无义务和责任承担这些费用。</w:t>
      </w:r>
    </w:p>
    <w:p w14:paraId="7DC4F795">
      <w:pPr>
        <w:spacing w:before="100" w:beforeAutospacing="1" w:after="100" w:afterAutospacing="1" w:line="460" w:lineRule="exact"/>
        <w:jc w:val="center"/>
        <w:outlineLvl w:val="2"/>
        <w:rPr>
          <w:rFonts w:hint="eastAsia" w:ascii="新宋体" w:hAnsi="新宋体" w:eastAsia="新宋体" w:cs="新宋体"/>
          <w:b/>
          <w:bCs/>
          <w:color w:val="auto"/>
          <w:sz w:val="26"/>
          <w:szCs w:val="26"/>
          <w:highlight w:val="none"/>
        </w:rPr>
      </w:pPr>
      <w:bookmarkStart w:id="14" w:name="_Toc21573"/>
      <w:r>
        <w:rPr>
          <w:rFonts w:hint="eastAsia" w:ascii="新宋体" w:hAnsi="新宋体" w:eastAsia="新宋体" w:cs="新宋体"/>
          <w:b/>
          <w:bCs/>
          <w:color w:val="auto"/>
          <w:sz w:val="26"/>
          <w:szCs w:val="26"/>
          <w:highlight w:val="none"/>
        </w:rPr>
        <w:t>二、 招标文件</w:t>
      </w:r>
      <w:bookmarkEnd w:id="14"/>
    </w:p>
    <w:p w14:paraId="20133E0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1、招标文件由招标文件目录所列内容及相关资料组成。</w:t>
      </w:r>
    </w:p>
    <w:p w14:paraId="7A0127BB">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2、招标文件的澄清</w:t>
      </w:r>
    </w:p>
    <w:p w14:paraId="46BDC1E6">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2.1任何要求对招标文件进行澄清的投标人，均应以书面形式（信函、传真，下同）通知，但该通知在知道或应知道其权益受到损害之日起七个工作日内以使招标人或招标代理机构收到，招标人或招标代理机构将以书面形式予以答复。如果招标文件澄清期内未收到有关澄清要求，视为投标人完全同意招标文件所有条款，且对于招标文件有关表述以及未尽事宜如有异议，以招标人或招标代理机构解释为准。</w:t>
      </w:r>
    </w:p>
    <w:p w14:paraId="03C427BA">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3、招标文件的修改</w:t>
      </w:r>
    </w:p>
    <w:p w14:paraId="2970E559">
      <w:pPr>
        <w:spacing w:line="460" w:lineRule="exact"/>
        <w:ind w:firstLine="440" w:firstLineChars="200"/>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3.1招标人或招标代理机构对已发出的招标文件进行必要的澄清或者修改的，应当在招标文件要求递交投标文件截止时间十五日前，在财政部门指定的政府采购信息发布媒体上发布更正公告。该澄清或修改内容为招标文件的组成部分。</w:t>
      </w:r>
    </w:p>
    <w:p w14:paraId="5A900F48">
      <w:pPr>
        <w:spacing w:line="460" w:lineRule="exact"/>
        <w:ind w:firstLine="440" w:firstLineChars="200"/>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3.2招标人、招标代理机构可以视采购的具体情况决定是否延长投标截止时间和开标时间，并在招标文件要求递交投标文件的截止时间前，在财政部门指定的政府采购信息发布媒体上发布变更公告。</w:t>
      </w:r>
    </w:p>
    <w:p w14:paraId="2BBBEF34">
      <w:pPr>
        <w:spacing w:before="100" w:beforeAutospacing="1" w:after="100" w:afterAutospacing="1" w:line="460" w:lineRule="exact"/>
        <w:jc w:val="center"/>
        <w:outlineLvl w:val="2"/>
        <w:rPr>
          <w:rFonts w:hint="eastAsia" w:ascii="新宋体" w:hAnsi="新宋体" w:eastAsia="新宋体" w:cs="新宋体"/>
          <w:b/>
          <w:bCs/>
          <w:color w:val="auto"/>
          <w:sz w:val="26"/>
          <w:szCs w:val="26"/>
          <w:highlight w:val="none"/>
        </w:rPr>
      </w:pPr>
      <w:bookmarkStart w:id="15" w:name="_Toc1364"/>
      <w:r>
        <w:rPr>
          <w:rFonts w:hint="eastAsia" w:ascii="新宋体" w:hAnsi="新宋体" w:eastAsia="新宋体" w:cs="新宋体"/>
          <w:b/>
          <w:bCs/>
          <w:color w:val="auto"/>
          <w:sz w:val="26"/>
          <w:szCs w:val="26"/>
          <w:highlight w:val="none"/>
        </w:rPr>
        <w:t>三、 投标文件的编制</w:t>
      </w:r>
      <w:bookmarkEnd w:id="15"/>
    </w:p>
    <w:p w14:paraId="50655FD6">
      <w:pPr>
        <w:keepNext w:val="0"/>
        <w:keepLines w:val="0"/>
        <w:pageBreakBefore w:val="0"/>
        <w:tabs>
          <w:tab w:val="left" w:pos="360"/>
        </w:tabs>
        <w:kinsoku/>
        <w:wordWrap/>
        <w:topLinePunct w:val="0"/>
        <w:bidi w:val="0"/>
        <w:spacing w:line="460" w:lineRule="exact"/>
        <w:ind w:firstLine="440" w:firstLineChars="200"/>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1、投标人应认真阅读招标文件中所有事项、格式、条款和技术规范等。</w:t>
      </w:r>
      <w:r>
        <w:rPr>
          <w:rFonts w:hint="eastAsia" w:ascii="新宋体" w:hAnsi="新宋体" w:eastAsia="新宋体" w:cs="新宋体"/>
          <w:b/>
          <w:color w:val="auto"/>
          <w:sz w:val="22"/>
          <w:szCs w:val="22"/>
          <w:highlight w:val="none"/>
        </w:rPr>
        <w:t>投标人没有按照招标文件要求提交全部资料，或者没有对招标文件各个方面做出实质性响应，导致投标被否决的风险由投标人自行承担。</w:t>
      </w:r>
    </w:p>
    <w:p w14:paraId="0DD7A041">
      <w:pPr>
        <w:keepNext w:val="0"/>
        <w:keepLines w:val="0"/>
        <w:pageBreakBefore w:val="0"/>
        <w:kinsoku/>
        <w:wordWrap/>
        <w:topLinePunct w:val="0"/>
        <w:bidi w:val="0"/>
        <w:spacing w:line="460" w:lineRule="exact"/>
        <w:ind w:firstLine="442" w:firstLineChars="200"/>
        <w:jc w:val="left"/>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2、投标人应保证所提供文件资料的真实性，所有文件资料必须是针对本次投标的。如发现投标人提供了虚假文件资料，其投标将被否决，并自行承担相应的法律责任。</w:t>
      </w:r>
    </w:p>
    <w:p w14:paraId="619CB4E0">
      <w:pPr>
        <w:keepNext w:val="0"/>
        <w:keepLines w:val="0"/>
        <w:pageBreakBefore w:val="0"/>
        <w:kinsoku/>
        <w:wordWrap/>
        <w:topLinePunct w:val="0"/>
        <w:bidi w:val="0"/>
        <w:spacing w:line="460" w:lineRule="exact"/>
        <w:ind w:firstLine="442" w:firstLineChars="200"/>
        <w:jc w:val="left"/>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3、</w:t>
      </w:r>
      <w:r>
        <w:rPr>
          <w:rFonts w:hint="eastAsia" w:ascii="新宋体" w:hAnsi="新宋体" w:eastAsia="新宋体" w:cs="新宋体"/>
          <w:b/>
          <w:bCs/>
          <w:color w:val="auto"/>
          <w:sz w:val="22"/>
          <w:szCs w:val="22"/>
          <w:highlight w:val="none"/>
        </w:rPr>
        <w:t>投标文件的构成：</w:t>
      </w:r>
    </w:p>
    <w:p w14:paraId="2A402FFA">
      <w:pPr>
        <w:keepNext w:val="0"/>
        <w:keepLines w:val="0"/>
        <w:pageBreakBefore w:val="0"/>
        <w:kinsoku/>
        <w:wordWrap/>
        <w:topLinePunct w:val="0"/>
        <w:bidi w:val="0"/>
        <w:spacing w:line="460" w:lineRule="exact"/>
        <w:ind w:firstLine="440" w:firstLineChars="200"/>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投标</w:t>
      </w:r>
      <w:r>
        <w:rPr>
          <w:rFonts w:hint="eastAsia" w:ascii="新宋体" w:hAnsi="新宋体" w:eastAsia="新宋体" w:cs="新宋体"/>
          <w:color w:val="auto"/>
          <w:kern w:val="0"/>
          <w:sz w:val="22"/>
          <w:szCs w:val="22"/>
          <w:highlight w:val="none"/>
          <w:lang w:val="zh-CN"/>
        </w:rPr>
        <w:t>文件应当包括以下主要内容：资格文件、报价文件、商务技术文件。</w:t>
      </w:r>
    </w:p>
    <w:p w14:paraId="7B96BFDF">
      <w:pPr>
        <w:keepNext w:val="0"/>
        <w:keepLines w:val="0"/>
        <w:pageBreakBefore w:val="0"/>
        <w:kinsoku/>
        <w:wordWrap/>
        <w:topLinePunct w:val="0"/>
        <w:bidi w:val="0"/>
        <w:spacing w:line="460" w:lineRule="exact"/>
        <w:ind w:firstLine="442" w:firstLineChars="200"/>
        <w:jc w:val="left"/>
        <w:rPr>
          <w:rFonts w:hint="eastAsia" w:ascii="新宋体" w:hAnsi="新宋体" w:eastAsia="新宋体" w:cs="新宋体"/>
          <w:b/>
          <w:bCs/>
          <w:color w:val="auto"/>
          <w:kern w:val="0"/>
          <w:sz w:val="22"/>
          <w:szCs w:val="22"/>
          <w:highlight w:val="none"/>
          <w:u w:val="single"/>
          <w:lang w:val="zh-CN"/>
        </w:rPr>
      </w:pPr>
      <w:r>
        <w:rPr>
          <w:rFonts w:hint="eastAsia" w:ascii="新宋体" w:hAnsi="新宋体" w:eastAsia="新宋体" w:cs="新宋体"/>
          <w:b/>
          <w:bCs/>
          <w:color w:val="auto"/>
          <w:kern w:val="0"/>
          <w:sz w:val="22"/>
          <w:szCs w:val="22"/>
          <w:highlight w:val="none"/>
          <w:u w:val="single"/>
        </w:rPr>
        <w:t>3.1</w:t>
      </w:r>
      <w:r>
        <w:rPr>
          <w:rFonts w:hint="eastAsia" w:ascii="新宋体" w:hAnsi="新宋体" w:eastAsia="新宋体" w:cs="新宋体"/>
          <w:b/>
          <w:bCs/>
          <w:color w:val="auto"/>
          <w:kern w:val="0"/>
          <w:sz w:val="22"/>
          <w:szCs w:val="22"/>
          <w:highlight w:val="none"/>
          <w:u w:val="single"/>
          <w:lang w:val="zh-CN"/>
        </w:rPr>
        <w:t>投标人的资格文件至少应包括以下内容：</w:t>
      </w:r>
    </w:p>
    <w:p w14:paraId="7AFAD031">
      <w:pPr>
        <w:keepNext w:val="0"/>
        <w:keepLines w:val="0"/>
        <w:pageBreakBefore w:val="0"/>
        <w:tabs>
          <w:tab w:val="left" w:pos="360"/>
        </w:tabs>
        <w:kinsoku/>
        <w:wordWrap/>
        <w:topLinePunct w:val="0"/>
        <w:bidi w:val="0"/>
        <w:spacing w:line="460" w:lineRule="exact"/>
        <w:ind w:firstLine="440" w:firstLineChars="200"/>
        <w:jc w:val="left"/>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kern w:val="0"/>
          <w:sz w:val="22"/>
          <w:szCs w:val="22"/>
          <w:highlight w:val="none"/>
          <w:u w:val="single"/>
          <w:lang w:val="zh-CN"/>
        </w:rPr>
        <w:t>基本资格条件审查材料：即证明</w:t>
      </w:r>
      <w:r>
        <w:rPr>
          <w:rFonts w:hint="eastAsia" w:ascii="新宋体" w:hAnsi="新宋体" w:eastAsia="新宋体" w:cs="新宋体"/>
          <w:color w:val="auto"/>
          <w:kern w:val="0"/>
          <w:sz w:val="22"/>
          <w:szCs w:val="22"/>
          <w:highlight w:val="none"/>
          <w:u w:val="single"/>
          <w:lang w:val="zh-CN" w:eastAsia="zh-CN"/>
        </w:rPr>
        <w:t>供应商</w:t>
      </w:r>
      <w:r>
        <w:rPr>
          <w:rFonts w:hint="eastAsia" w:ascii="新宋体" w:hAnsi="新宋体" w:eastAsia="新宋体" w:cs="新宋体"/>
          <w:color w:val="auto"/>
          <w:kern w:val="0"/>
          <w:sz w:val="22"/>
          <w:szCs w:val="22"/>
          <w:highlight w:val="none"/>
          <w:u w:val="single"/>
          <w:lang w:val="zh-CN"/>
        </w:rPr>
        <w:t>参加本次采购活动前3年内</w:t>
      </w:r>
      <w:r>
        <w:rPr>
          <w:rFonts w:hint="eastAsia" w:ascii="新宋体" w:hAnsi="新宋体" w:eastAsia="新宋体" w:cs="新宋体"/>
          <w:color w:val="auto"/>
          <w:kern w:val="0"/>
          <w:sz w:val="22"/>
          <w:szCs w:val="22"/>
          <w:highlight w:val="none"/>
          <w:u w:val="single"/>
          <w:lang w:val="zh-CN" w:eastAsia="zh-CN"/>
        </w:rPr>
        <w:t>满足</w:t>
      </w:r>
      <w:r>
        <w:rPr>
          <w:rFonts w:hint="eastAsia" w:ascii="新宋体" w:hAnsi="新宋体" w:eastAsia="新宋体" w:cs="新宋体"/>
          <w:color w:val="auto"/>
          <w:kern w:val="0"/>
          <w:sz w:val="22"/>
          <w:szCs w:val="22"/>
          <w:highlight w:val="none"/>
          <w:u w:val="single"/>
          <w:lang w:val="zh-CN"/>
        </w:rPr>
        <w:t>《中华人民共和国政府采购法》的有关资格证明文件。</w:t>
      </w:r>
      <w:r>
        <w:rPr>
          <w:rFonts w:hint="eastAsia" w:ascii="新宋体" w:hAnsi="新宋体" w:eastAsia="新宋体" w:cs="新宋体"/>
          <w:color w:val="auto"/>
          <w:sz w:val="22"/>
          <w:szCs w:val="22"/>
          <w:highlight w:val="none"/>
          <w:u w:val="single"/>
        </w:rPr>
        <w:t>包括：</w:t>
      </w:r>
    </w:p>
    <w:p w14:paraId="350D6E99">
      <w:pPr>
        <w:keepNext w:val="0"/>
        <w:keepLines w:val="0"/>
        <w:pageBreakBefore w:val="0"/>
        <w:kinsoku/>
        <w:wordWrap/>
        <w:topLinePunct w:val="0"/>
        <w:bidi w:val="0"/>
        <w:snapToGrid w:val="0"/>
        <w:spacing w:line="460" w:lineRule="exact"/>
        <w:ind w:firstLine="440" w:firstLineChars="200"/>
        <w:jc w:val="left"/>
        <w:rPr>
          <w:rFonts w:hint="eastAsia" w:ascii="新宋体" w:hAnsi="新宋体" w:eastAsia="新宋体" w:cs="新宋体"/>
          <w:color w:val="auto"/>
          <w:sz w:val="22"/>
          <w:szCs w:val="22"/>
          <w:highlight w:val="none"/>
          <w:u w:val="single"/>
          <w:lang w:eastAsia="zh-CN"/>
        </w:rPr>
      </w:pP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lang w:val="en-US" w:eastAsia="zh-CN"/>
        </w:rPr>
        <w:t>1</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rPr>
        <w:t>资格条件承诺函</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5E81694D">
      <w:pPr>
        <w:keepNext w:val="0"/>
        <w:keepLines w:val="0"/>
        <w:pageBreakBefore w:val="0"/>
        <w:kinsoku/>
        <w:wordWrap/>
        <w:topLinePunct w:val="0"/>
        <w:bidi w:val="0"/>
        <w:snapToGrid w:val="0"/>
        <w:spacing w:line="460" w:lineRule="exact"/>
        <w:ind w:firstLine="440" w:firstLineChars="200"/>
        <w:jc w:val="left"/>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2</w:t>
      </w:r>
      <w:r>
        <w:rPr>
          <w:rFonts w:hint="eastAsia" w:ascii="新宋体" w:hAnsi="新宋体" w:eastAsia="新宋体" w:cs="新宋体"/>
          <w:color w:val="auto"/>
          <w:sz w:val="22"/>
          <w:szCs w:val="22"/>
          <w:highlight w:val="none"/>
          <w:u w:val="single"/>
        </w:rPr>
        <w:t>）营业执照</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rPr>
        <w:t>或事业法人登记证书或其它工商等登记证明材料；自然人参与政府采购，提供身份证</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rPr>
        <w:t>复印件；</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655701D7">
      <w:pPr>
        <w:keepNext w:val="0"/>
        <w:keepLines w:val="0"/>
        <w:pageBreakBefore w:val="0"/>
        <w:kinsoku/>
        <w:wordWrap/>
        <w:topLinePunct w:val="0"/>
        <w:bidi w:val="0"/>
        <w:snapToGrid w:val="0"/>
        <w:spacing w:line="460" w:lineRule="exact"/>
        <w:ind w:firstLine="440" w:firstLineChars="200"/>
        <w:jc w:val="left"/>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14:paraId="2B6F7EB1">
      <w:pPr>
        <w:keepNext w:val="0"/>
        <w:keepLines w:val="0"/>
        <w:pageBreakBefore w:val="0"/>
        <w:kinsoku/>
        <w:wordWrap/>
        <w:topLinePunct w:val="0"/>
        <w:bidi w:val="0"/>
        <w:snapToGrid w:val="0"/>
        <w:spacing w:line="460" w:lineRule="exact"/>
        <w:ind w:firstLine="440" w:firstLineChars="200"/>
        <w:jc w:val="left"/>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lang w:val="en-US" w:eastAsia="zh-CN"/>
        </w:rPr>
        <w:t>（3）投标人信用查询；</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521E94DB">
      <w:pPr>
        <w:keepNext w:val="0"/>
        <w:keepLines w:val="0"/>
        <w:pageBreakBefore w:val="0"/>
        <w:kinsoku/>
        <w:wordWrap/>
        <w:topLinePunct w:val="0"/>
        <w:bidi w:val="0"/>
        <w:snapToGrid w:val="0"/>
        <w:spacing w:line="460" w:lineRule="exact"/>
        <w:ind w:firstLine="440" w:firstLineChars="200"/>
        <w:jc w:val="left"/>
        <w:rPr>
          <w:rFonts w:hint="eastAsia"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4</w:t>
      </w:r>
      <w:r>
        <w:rPr>
          <w:rFonts w:hint="eastAsia" w:ascii="新宋体" w:hAnsi="新宋体" w:eastAsia="新宋体" w:cs="新宋体"/>
          <w:color w:val="auto"/>
          <w:sz w:val="22"/>
          <w:szCs w:val="22"/>
          <w:highlight w:val="none"/>
          <w:u w:val="single"/>
        </w:rPr>
        <w:t>）中小企业声明函、监狱企业、残疾人福利性单位及其他相关的充分的证明材料。</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51698FE0">
      <w:pPr>
        <w:keepNext w:val="0"/>
        <w:keepLines w:val="0"/>
        <w:pageBreakBefore w:val="0"/>
        <w:kinsoku/>
        <w:wordWrap/>
        <w:topLinePunct w:val="0"/>
        <w:bidi w:val="0"/>
        <w:spacing w:line="460" w:lineRule="exact"/>
        <w:ind w:firstLine="440" w:firstLineChars="200"/>
        <w:jc w:val="left"/>
        <w:rPr>
          <w:rFonts w:hint="eastAsia" w:ascii="新宋体" w:hAnsi="新宋体" w:eastAsia="新宋体" w:cs="新宋体"/>
          <w:color w:val="auto"/>
          <w:sz w:val="22"/>
          <w:szCs w:val="22"/>
          <w:highlight w:val="none"/>
          <w:u w:val="single"/>
          <w:lang w:eastAsia="zh-CN"/>
        </w:rPr>
      </w:pP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kern w:val="0"/>
          <w:sz w:val="22"/>
          <w:szCs w:val="22"/>
          <w:highlight w:val="none"/>
          <w:u w:val="single"/>
          <w:lang w:val="en-US" w:eastAsia="zh-CN"/>
        </w:rPr>
        <w:t>5</w:t>
      </w: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sz w:val="22"/>
          <w:szCs w:val="22"/>
          <w:highlight w:val="none"/>
          <w:u w:val="single"/>
        </w:rPr>
        <w:t>采购活动确认声明书</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1D1F714E">
      <w:pPr>
        <w:keepNext w:val="0"/>
        <w:keepLines w:val="0"/>
        <w:pageBreakBefore w:val="0"/>
        <w:kinsoku/>
        <w:wordWrap/>
        <w:topLinePunct w:val="0"/>
        <w:bidi w:val="0"/>
        <w:spacing w:line="460" w:lineRule="exact"/>
        <w:ind w:firstLine="440" w:firstLineChars="200"/>
        <w:jc w:val="left"/>
        <w:rPr>
          <w:rFonts w:hint="eastAsia" w:ascii="新宋体" w:hAnsi="新宋体" w:eastAsia="新宋体" w:cs="新宋体"/>
          <w:color w:val="auto"/>
          <w:sz w:val="22"/>
          <w:szCs w:val="22"/>
          <w:highlight w:val="none"/>
          <w:u w:val="single"/>
          <w:lang w:eastAsia="zh-CN"/>
        </w:rPr>
      </w:pP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lang w:val="en-US" w:eastAsia="zh-CN"/>
        </w:rPr>
        <w:t>6</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lang w:val="en-US" w:eastAsia="zh-CN"/>
        </w:rPr>
        <w:t>联合体协议书（如有）</w:t>
      </w:r>
    </w:p>
    <w:p w14:paraId="4A713A2E">
      <w:pPr>
        <w:keepNext w:val="0"/>
        <w:keepLines w:val="0"/>
        <w:pageBreakBefore w:val="0"/>
        <w:kinsoku/>
        <w:wordWrap/>
        <w:topLinePunct w:val="0"/>
        <w:bidi w:val="0"/>
        <w:spacing w:line="460" w:lineRule="exact"/>
        <w:ind w:firstLine="440" w:firstLineChars="200"/>
        <w:jc w:val="left"/>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上述资格条件审查材料有一项不提供的，视为资格审查不通过。</w:t>
      </w:r>
    </w:p>
    <w:p w14:paraId="319ABFFA">
      <w:pPr>
        <w:keepNext w:val="0"/>
        <w:keepLines w:val="0"/>
        <w:pageBreakBefore w:val="0"/>
        <w:kinsoku/>
        <w:wordWrap/>
        <w:topLinePunct w:val="0"/>
        <w:bidi w:val="0"/>
        <w:snapToGrid w:val="0"/>
        <w:spacing w:line="460" w:lineRule="exact"/>
        <w:ind w:firstLine="442" w:firstLineChars="200"/>
        <w:jc w:val="left"/>
        <w:rPr>
          <w:rFonts w:hint="eastAsia" w:ascii="新宋体" w:hAnsi="新宋体" w:eastAsia="新宋体" w:cs="新宋体"/>
          <w:color w:val="auto"/>
          <w:sz w:val="22"/>
          <w:szCs w:val="22"/>
          <w:highlight w:val="none"/>
          <w:u w:val="single"/>
          <w:lang w:val="zh-CN"/>
        </w:rPr>
      </w:pPr>
      <w:r>
        <w:rPr>
          <w:rFonts w:hint="eastAsia" w:ascii="新宋体" w:hAnsi="新宋体" w:eastAsia="新宋体" w:cs="新宋体"/>
          <w:b/>
          <w:bCs/>
          <w:color w:val="auto"/>
          <w:sz w:val="22"/>
          <w:szCs w:val="22"/>
          <w:highlight w:val="none"/>
        </w:rPr>
        <w:t>3.2</w:t>
      </w:r>
      <w:r>
        <w:rPr>
          <w:rFonts w:hint="eastAsia" w:ascii="新宋体" w:hAnsi="新宋体" w:eastAsia="新宋体" w:cs="新宋体"/>
          <w:b/>
          <w:bCs/>
          <w:color w:val="auto"/>
          <w:sz w:val="22"/>
          <w:szCs w:val="22"/>
          <w:highlight w:val="none"/>
          <w:lang w:val="zh-CN"/>
        </w:rPr>
        <w:t>投标人</w:t>
      </w:r>
      <w:r>
        <w:rPr>
          <w:rFonts w:hint="eastAsia" w:ascii="新宋体" w:hAnsi="新宋体" w:eastAsia="新宋体" w:cs="新宋体"/>
          <w:b/>
          <w:bCs/>
          <w:color w:val="auto"/>
          <w:sz w:val="22"/>
          <w:szCs w:val="22"/>
          <w:highlight w:val="none"/>
        </w:rPr>
        <w:t xml:space="preserve">的报价文件至少应包括以下内容： </w:t>
      </w:r>
    </w:p>
    <w:p w14:paraId="2968C538">
      <w:pPr>
        <w:keepNext w:val="0"/>
        <w:keepLines w:val="0"/>
        <w:pageBreakBefore w:val="0"/>
        <w:kinsoku/>
        <w:wordWrap/>
        <w:topLinePunct w:val="0"/>
        <w:bidi w:val="0"/>
        <w:snapToGrid w:val="0"/>
        <w:spacing w:line="460" w:lineRule="exact"/>
        <w:ind w:firstLine="440" w:firstLineChars="200"/>
        <w:jc w:val="lef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1</w:t>
      </w:r>
      <w:r>
        <w:rPr>
          <w:rFonts w:hint="eastAsia" w:ascii="新宋体" w:hAnsi="新宋体" w:eastAsia="新宋体" w:cs="新宋体"/>
          <w:color w:val="auto"/>
          <w:sz w:val="22"/>
          <w:szCs w:val="22"/>
          <w:highlight w:val="none"/>
          <w:u w:val="single"/>
        </w:rPr>
        <w:t>）投标报价一览表</w:t>
      </w:r>
      <w:r>
        <w:rPr>
          <w:rFonts w:hint="eastAsia" w:ascii="新宋体" w:hAnsi="新宋体" w:eastAsia="新宋体" w:cs="新宋体"/>
          <w:color w:val="auto"/>
          <w:sz w:val="22"/>
          <w:szCs w:val="22"/>
          <w:highlight w:val="none"/>
          <w:u w:val="single"/>
          <w:lang w:eastAsia="zh-CN"/>
        </w:rPr>
        <w:t>；</w:t>
      </w:r>
    </w:p>
    <w:p w14:paraId="774E2079">
      <w:pPr>
        <w:keepNext w:val="0"/>
        <w:keepLines w:val="0"/>
        <w:pageBreakBefore w:val="0"/>
        <w:kinsoku/>
        <w:wordWrap/>
        <w:topLinePunct w:val="0"/>
        <w:bidi w:val="0"/>
        <w:snapToGrid w:val="0"/>
        <w:spacing w:line="460" w:lineRule="exact"/>
        <w:ind w:firstLine="442" w:firstLineChars="200"/>
        <w:jc w:val="left"/>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b/>
          <w:bCs/>
          <w:color w:val="auto"/>
          <w:kern w:val="0"/>
          <w:sz w:val="22"/>
          <w:szCs w:val="22"/>
          <w:highlight w:val="none"/>
        </w:rPr>
        <w:t>3.3</w:t>
      </w:r>
      <w:r>
        <w:rPr>
          <w:rFonts w:hint="eastAsia" w:ascii="新宋体" w:hAnsi="新宋体" w:eastAsia="新宋体" w:cs="新宋体"/>
          <w:b/>
          <w:bCs/>
          <w:color w:val="auto"/>
          <w:kern w:val="0"/>
          <w:sz w:val="22"/>
          <w:szCs w:val="22"/>
          <w:highlight w:val="none"/>
          <w:lang w:val="zh-CN"/>
        </w:rPr>
        <w:t>投标人的商务技术文件应包括以下内容：</w:t>
      </w:r>
      <w:r>
        <w:rPr>
          <w:rFonts w:hint="eastAsia" w:ascii="新宋体" w:hAnsi="新宋体" w:eastAsia="新宋体" w:cs="新宋体"/>
          <w:color w:val="auto"/>
          <w:kern w:val="0"/>
          <w:sz w:val="22"/>
          <w:szCs w:val="22"/>
          <w:highlight w:val="none"/>
          <w:lang w:val="zh-CN"/>
        </w:rPr>
        <w:t xml:space="preserve"> </w:t>
      </w:r>
    </w:p>
    <w:p w14:paraId="7F2CA9AF">
      <w:pPr>
        <w:keepNext w:val="0"/>
        <w:keepLines w:val="0"/>
        <w:pageBreakBefore w:val="0"/>
        <w:kinsoku/>
        <w:wordWrap/>
        <w:topLinePunct w:val="0"/>
        <w:bidi w:val="0"/>
        <w:snapToGrid w:val="0"/>
        <w:spacing w:line="460" w:lineRule="exact"/>
        <w:ind w:firstLine="440" w:firstLineChars="200"/>
        <w:jc w:val="left"/>
        <w:rPr>
          <w:rFonts w:hint="eastAsia" w:ascii="新宋体" w:hAnsi="新宋体" w:eastAsia="新宋体" w:cs="新宋体"/>
          <w:color w:val="auto"/>
          <w:sz w:val="22"/>
          <w:szCs w:val="22"/>
          <w:highlight w:val="none"/>
          <w:u w:val="single"/>
          <w:lang w:eastAsia="zh-CN"/>
        </w:rPr>
      </w:pPr>
      <w:r>
        <w:rPr>
          <w:rFonts w:hint="eastAsia" w:ascii="新宋体" w:hAnsi="新宋体" w:eastAsia="新宋体" w:cs="新宋体"/>
          <w:color w:val="auto"/>
          <w:sz w:val="22"/>
          <w:szCs w:val="22"/>
          <w:highlight w:val="none"/>
          <w:u w:val="none"/>
        </w:rPr>
        <w:t>（1）投标响应函</w:t>
      </w:r>
      <w:r>
        <w:rPr>
          <w:rFonts w:hint="eastAsia" w:ascii="新宋体" w:hAnsi="新宋体" w:eastAsia="新宋体" w:cs="新宋体"/>
          <w:color w:val="auto"/>
          <w:sz w:val="22"/>
          <w:szCs w:val="22"/>
          <w:highlight w:val="none"/>
          <w:u w:val="none"/>
          <w:lang w:eastAsia="zh-CN"/>
        </w:rPr>
        <w:t>；</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3FE1BCD9">
      <w:pPr>
        <w:keepNext w:val="0"/>
        <w:keepLines w:val="0"/>
        <w:pageBreakBefore w:val="0"/>
        <w:kinsoku/>
        <w:wordWrap/>
        <w:topLinePunct w:val="0"/>
        <w:bidi w:val="0"/>
        <w:snapToGrid w:val="0"/>
        <w:spacing w:line="460" w:lineRule="exact"/>
        <w:ind w:firstLine="440" w:firstLineChars="200"/>
        <w:jc w:val="lef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）法定代表人授权委托书</w:t>
      </w:r>
      <w:r>
        <w:rPr>
          <w:rFonts w:hint="eastAsia" w:ascii="新宋体" w:hAnsi="新宋体" w:eastAsia="新宋体" w:cs="新宋体"/>
          <w:color w:val="auto"/>
          <w:sz w:val="22"/>
          <w:szCs w:val="22"/>
          <w:highlight w:val="none"/>
          <w:lang w:eastAsia="zh-CN"/>
        </w:rPr>
        <w:t>；</w:t>
      </w:r>
    </w:p>
    <w:p w14:paraId="51E23239">
      <w:pPr>
        <w:keepNext w:val="0"/>
        <w:keepLines w:val="0"/>
        <w:pageBreakBefore w:val="0"/>
        <w:kinsoku/>
        <w:wordWrap/>
        <w:topLinePunct w:val="0"/>
        <w:bidi w:val="0"/>
        <w:snapToGrid w:val="0"/>
        <w:spacing w:line="460" w:lineRule="exact"/>
        <w:ind w:firstLine="440" w:firstLineChars="200"/>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需提供法定代表人及授权委托人的身份证复印件加盖公章；</w:t>
      </w:r>
    </w:p>
    <w:p w14:paraId="46688780">
      <w:pPr>
        <w:keepNext w:val="0"/>
        <w:keepLines w:val="0"/>
        <w:pageBreakBefore w:val="0"/>
        <w:kinsoku/>
        <w:wordWrap/>
        <w:topLinePunct w:val="0"/>
        <w:bidi w:val="0"/>
        <w:snapToGrid w:val="0"/>
        <w:spacing w:line="460" w:lineRule="exact"/>
        <w:ind w:firstLine="440" w:firstLineChars="200"/>
        <w:jc w:val="lef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）投标人情况表</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15E7FA6A">
      <w:pPr>
        <w:keepNext w:val="0"/>
        <w:keepLines w:val="0"/>
        <w:pageBreakBefore w:val="0"/>
        <w:kinsoku/>
        <w:wordWrap/>
        <w:topLinePunct w:val="0"/>
        <w:bidi w:val="0"/>
        <w:snapToGrid w:val="0"/>
        <w:spacing w:line="460" w:lineRule="exact"/>
        <w:ind w:firstLine="440" w:firstLineChars="200"/>
        <w:jc w:val="lef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）廉政承诺书</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12987E5B">
      <w:pPr>
        <w:keepNext w:val="0"/>
        <w:keepLines w:val="0"/>
        <w:pageBreakBefore w:val="0"/>
        <w:kinsoku/>
        <w:wordWrap/>
        <w:topLinePunct w:val="0"/>
        <w:bidi w:val="0"/>
        <w:snapToGrid w:val="0"/>
        <w:spacing w:line="460" w:lineRule="exact"/>
        <w:ind w:firstLine="440" w:firstLineChars="200"/>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zh-CN"/>
        </w:rPr>
        <w:t>偏离表（</w:t>
      </w:r>
      <w:r>
        <w:rPr>
          <w:rFonts w:hint="eastAsia" w:ascii="新宋体" w:hAnsi="新宋体" w:eastAsia="新宋体" w:cs="新宋体"/>
          <w:color w:val="auto"/>
          <w:sz w:val="22"/>
          <w:szCs w:val="22"/>
          <w:highlight w:val="none"/>
        </w:rPr>
        <w:t>商务、技术偏离</w:t>
      </w:r>
      <w:r>
        <w:rPr>
          <w:rFonts w:hint="eastAsia" w:ascii="新宋体" w:hAnsi="新宋体" w:eastAsia="新宋体" w:cs="新宋体"/>
          <w:color w:val="auto"/>
          <w:sz w:val="22"/>
          <w:szCs w:val="22"/>
          <w:highlight w:val="none"/>
          <w:lang w:val="zh-CN"/>
        </w:rPr>
        <w:t>）；</w:t>
      </w:r>
    </w:p>
    <w:p w14:paraId="26631410">
      <w:pPr>
        <w:keepNext w:val="0"/>
        <w:keepLines w:val="0"/>
        <w:pageBreakBefore w:val="0"/>
        <w:kinsoku/>
        <w:wordWrap/>
        <w:topLinePunct w:val="0"/>
        <w:bidi w:val="0"/>
        <w:snapToGrid w:val="0"/>
        <w:spacing w:line="460" w:lineRule="exact"/>
        <w:ind w:firstLine="440" w:firstLineChars="200"/>
        <w:jc w:val="lef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6</w:t>
      </w: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zh-CN" w:eastAsia="zh-CN"/>
        </w:rPr>
        <w:t>其他必要提供的资料。</w:t>
      </w:r>
    </w:p>
    <w:p w14:paraId="3418FAE6">
      <w:pPr>
        <w:keepNext w:val="0"/>
        <w:keepLines w:val="0"/>
        <w:pageBreakBefore w:val="0"/>
        <w:kinsoku/>
        <w:wordWrap/>
        <w:topLinePunct w:val="0"/>
        <w:bidi w:val="0"/>
        <w:snapToGrid w:val="0"/>
        <w:spacing w:line="460" w:lineRule="exact"/>
        <w:ind w:firstLine="440" w:firstLineChars="200"/>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资质文件（如有）、其他必要提供的资料</w:t>
      </w:r>
    </w:p>
    <w:p w14:paraId="55970440">
      <w:pPr>
        <w:keepNext w:val="0"/>
        <w:keepLines w:val="0"/>
        <w:pageBreakBefore w:val="0"/>
        <w:kinsoku/>
        <w:wordWrap/>
        <w:topLinePunct w:val="0"/>
        <w:bidi w:val="0"/>
        <w:spacing w:line="460" w:lineRule="exact"/>
        <w:ind w:firstLine="442" w:firstLineChars="200"/>
        <w:jc w:val="left"/>
        <w:rPr>
          <w:rFonts w:hint="eastAsia" w:ascii="新宋体" w:hAnsi="新宋体" w:eastAsia="新宋体" w:cs="新宋体"/>
          <w:b/>
          <w:color w:val="auto"/>
          <w:sz w:val="22"/>
          <w:szCs w:val="22"/>
          <w:highlight w:val="none"/>
          <w:lang w:val="zh-CN"/>
        </w:rPr>
      </w:pPr>
      <w:r>
        <w:rPr>
          <w:rFonts w:hint="eastAsia" w:ascii="新宋体" w:hAnsi="新宋体" w:eastAsia="新宋体" w:cs="新宋体"/>
          <w:b/>
          <w:color w:val="auto"/>
          <w:sz w:val="22"/>
          <w:szCs w:val="22"/>
          <w:highlight w:val="none"/>
          <w:lang w:val="zh-CN"/>
        </w:rPr>
        <w:t>投标文件中所需的各种证书、证件、证明资料如是复印件，须在复印件上加盖有效公章。</w:t>
      </w:r>
    </w:p>
    <w:p w14:paraId="175BC358">
      <w:pPr>
        <w:pStyle w:val="30"/>
        <w:keepNext w:val="0"/>
        <w:keepLines w:val="0"/>
        <w:pageBreakBefore w:val="0"/>
        <w:kinsoku/>
        <w:wordWrap/>
        <w:topLinePunct w:val="0"/>
        <w:bidi w:val="0"/>
        <w:snapToGrid w:val="0"/>
        <w:spacing w:line="460" w:lineRule="exact"/>
        <w:ind w:firstLine="442" w:firstLineChars="200"/>
        <w:jc w:val="left"/>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lang w:val="zh-CN"/>
        </w:rPr>
        <w:t>投标人的</w:t>
      </w:r>
      <w:r>
        <w:rPr>
          <w:rFonts w:hint="eastAsia" w:ascii="新宋体" w:hAnsi="新宋体" w:eastAsia="新宋体" w:cs="新宋体"/>
          <w:color w:val="auto"/>
          <w:sz w:val="22"/>
          <w:szCs w:val="22"/>
          <w:highlight w:val="none"/>
        </w:rPr>
        <w:t>投标文件必须按照招标文件要求制作</w:t>
      </w:r>
      <w:r>
        <w:rPr>
          <w:rFonts w:hint="eastAsia" w:ascii="新宋体" w:hAnsi="新宋体" w:eastAsia="新宋体" w:cs="新宋体"/>
          <w:bCs/>
          <w:color w:val="auto"/>
          <w:sz w:val="22"/>
          <w:szCs w:val="22"/>
          <w:highlight w:val="none"/>
        </w:rPr>
        <w:t>。</w:t>
      </w:r>
    </w:p>
    <w:p w14:paraId="426E2DCC">
      <w:pPr>
        <w:keepNext w:val="0"/>
        <w:keepLines w:val="0"/>
        <w:pageBreakBefore w:val="0"/>
        <w:kinsoku/>
        <w:wordWrap/>
        <w:topLinePunct w:val="0"/>
        <w:bidi w:val="0"/>
        <w:spacing w:line="460" w:lineRule="exact"/>
        <w:ind w:firstLine="442" w:firstLineChars="200"/>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投标人可在投标文件中对采购货物的技术规格和要求选用替代标准，但这些替代标准必须相当于或优于招标文件中提出的相应要求，并使招标人满意，同时在技术偏离表中作出详细说明。</w:t>
      </w:r>
    </w:p>
    <w:p w14:paraId="79A11442">
      <w:pPr>
        <w:keepNext w:val="0"/>
        <w:keepLines w:val="0"/>
        <w:pageBreakBefore w:val="0"/>
        <w:kinsoku/>
        <w:wordWrap/>
        <w:topLinePunct w:val="0"/>
        <w:bidi w:val="0"/>
        <w:spacing w:line="460" w:lineRule="exact"/>
        <w:ind w:firstLine="442" w:firstLineChars="200"/>
        <w:jc w:val="left"/>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4、投标报价</w:t>
      </w:r>
    </w:p>
    <w:p w14:paraId="539A4F9C">
      <w:pPr>
        <w:keepNext w:val="0"/>
        <w:keepLines w:val="0"/>
        <w:pageBreakBefore w:val="0"/>
        <w:widowControl w:val="0"/>
        <w:kinsoku/>
        <w:wordWrap/>
        <w:overflowPunct/>
        <w:topLinePunct w:val="0"/>
        <w:autoSpaceDE/>
        <w:autoSpaceDN/>
        <w:bidi w:val="0"/>
        <w:adjustRightInd/>
        <w:snapToGrid/>
        <w:spacing w:line="460" w:lineRule="exact"/>
        <w:ind w:firstLine="442" w:firstLineChars="200"/>
        <w:jc w:val="lef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4.1</w:t>
      </w:r>
      <w:r>
        <w:rPr>
          <w:rFonts w:hint="eastAsia" w:ascii="新宋体" w:hAnsi="新宋体" w:eastAsia="新宋体" w:cs="新宋体"/>
          <w:b/>
          <w:bCs/>
          <w:color w:val="auto"/>
          <w:sz w:val="22"/>
          <w:szCs w:val="22"/>
          <w:highlight w:val="none"/>
          <w:u w:val="single"/>
        </w:rPr>
        <w:t>投标报价（综合单价）是指投标人为正确地完全履行采购内容及要求的价格体现，包括了为采购人</w:t>
      </w:r>
      <w:r>
        <w:rPr>
          <w:rFonts w:hint="eastAsia" w:ascii="新宋体" w:hAnsi="新宋体" w:eastAsia="新宋体" w:cs="新宋体"/>
          <w:b/>
          <w:color w:val="auto"/>
          <w:sz w:val="22"/>
          <w:szCs w:val="22"/>
          <w:highlight w:val="none"/>
          <w:u w:val="single"/>
        </w:rPr>
        <w:t>提</w:t>
      </w:r>
      <w:r>
        <w:rPr>
          <w:rFonts w:hint="eastAsia" w:ascii="新宋体" w:hAnsi="新宋体" w:eastAsia="新宋体" w:cs="新宋体"/>
          <w:b/>
          <w:bCs/>
          <w:color w:val="auto"/>
          <w:sz w:val="22"/>
          <w:szCs w:val="22"/>
          <w:highlight w:val="none"/>
          <w:u w:val="single"/>
        </w:rPr>
        <w:t>供的布草洗涤服务所需的</w:t>
      </w:r>
      <w:r>
        <w:rPr>
          <w:rFonts w:hint="eastAsia" w:ascii="新宋体" w:hAnsi="新宋体" w:eastAsia="新宋体" w:cs="新宋体"/>
          <w:b/>
          <w:color w:val="auto"/>
          <w:sz w:val="22"/>
          <w:szCs w:val="22"/>
          <w:highlight w:val="none"/>
          <w:u w:val="single"/>
        </w:rPr>
        <w:t>一切人员工资、奖金、各种加班费、高温补贴费、各种社会保险、食宿与交通、设备及工具、器材、消耗材料、布草损坏、消毒、仓储、运输、管理费用、税费、利润、采购代理服务费</w:t>
      </w:r>
      <w:bookmarkStart w:id="16" w:name="_Hlk14592031"/>
      <w:r>
        <w:rPr>
          <w:rFonts w:hint="eastAsia" w:ascii="新宋体" w:hAnsi="新宋体" w:eastAsia="新宋体" w:cs="新宋体"/>
          <w:b/>
          <w:bCs/>
          <w:color w:val="auto"/>
          <w:sz w:val="22"/>
          <w:szCs w:val="22"/>
          <w:highlight w:val="none"/>
          <w:u w:val="single"/>
        </w:rPr>
        <w:t>等完成本项目所需的一切本身和不可或缺的所有工作开支、政策性文件规定及合同包含的所有风险、责任等各项全部费用</w:t>
      </w:r>
      <w:bookmarkEnd w:id="16"/>
      <w:r>
        <w:rPr>
          <w:rFonts w:hint="eastAsia" w:ascii="新宋体" w:hAnsi="新宋体" w:eastAsia="新宋体" w:cs="新宋体"/>
          <w:b/>
          <w:bCs/>
          <w:color w:val="auto"/>
          <w:sz w:val="22"/>
          <w:szCs w:val="22"/>
          <w:highlight w:val="none"/>
          <w:u w:val="single"/>
        </w:rPr>
        <w:t>，</w:t>
      </w:r>
      <w:r>
        <w:rPr>
          <w:rFonts w:hint="eastAsia" w:ascii="新宋体" w:hAnsi="新宋体" w:eastAsia="新宋体" w:cs="新宋体"/>
          <w:b/>
          <w:color w:val="auto"/>
          <w:sz w:val="22"/>
          <w:szCs w:val="22"/>
          <w:highlight w:val="none"/>
        </w:rPr>
        <w:t>实行固定</w:t>
      </w:r>
      <w:r>
        <w:rPr>
          <w:rFonts w:hint="eastAsia" w:ascii="宋体" w:hAnsi="宋体" w:cs="宋体"/>
          <w:b/>
          <w:color w:val="auto"/>
          <w:sz w:val="22"/>
          <w:szCs w:val="22"/>
          <w:highlight w:val="none"/>
        </w:rPr>
        <w:t>费用总包干</w:t>
      </w:r>
      <w:r>
        <w:rPr>
          <w:rFonts w:hint="eastAsia" w:ascii="新宋体" w:hAnsi="新宋体" w:eastAsia="新宋体" w:cs="新宋体"/>
          <w:color w:val="auto"/>
          <w:sz w:val="22"/>
          <w:szCs w:val="22"/>
          <w:highlight w:val="none"/>
        </w:rPr>
        <w:t>。</w:t>
      </w:r>
    </w:p>
    <w:p w14:paraId="6EE9928E">
      <w:pPr>
        <w:keepNext w:val="0"/>
        <w:keepLines w:val="0"/>
        <w:pageBreakBefore w:val="0"/>
        <w:widowControl w:val="0"/>
        <w:kinsoku/>
        <w:wordWrap/>
        <w:overflowPunct/>
        <w:topLinePunct w:val="0"/>
        <w:autoSpaceDE/>
        <w:autoSpaceDN/>
        <w:bidi w:val="0"/>
        <w:adjustRightInd/>
        <w:snapToGrid/>
        <w:spacing w:line="460" w:lineRule="exact"/>
        <w:ind w:firstLine="440" w:firstLineChars="200"/>
        <w:jc w:val="lef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4.2投标人必须按附件中的投标报价一览表、投标分项报价表内容填写价格，并由投标人代表签署。</w:t>
      </w:r>
    </w:p>
    <w:p w14:paraId="3C5AD76B">
      <w:pPr>
        <w:keepNext w:val="0"/>
        <w:keepLines w:val="0"/>
        <w:pageBreakBefore w:val="0"/>
        <w:widowControl w:val="0"/>
        <w:kinsoku/>
        <w:wordWrap/>
        <w:overflowPunct/>
        <w:topLinePunct w:val="0"/>
        <w:autoSpaceDE/>
        <w:autoSpaceDN/>
        <w:bidi w:val="0"/>
        <w:adjustRightInd/>
        <w:snapToGrid/>
        <w:spacing w:line="460" w:lineRule="exact"/>
        <w:ind w:firstLine="440" w:firstLineChars="200"/>
        <w:jc w:val="lef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4.3</w:t>
      </w:r>
      <w:r>
        <w:rPr>
          <w:rFonts w:hint="eastAsia" w:ascii="新宋体" w:hAnsi="新宋体" w:eastAsia="新宋体" w:cs="新宋体"/>
          <w:b/>
          <w:color w:val="auto"/>
          <w:sz w:val="22"/>
          <w:highlight w:val="none"/>
        </w:rPr>
        <w:t>投标货币以人民币进行投标</w:t>
      </w:r>
      <w:r>
        <w:rPr>
          <w:rFonts w:hint="eastAsia" w:ascii="新宋体" w:hAnsi="新宋体" w:eastAsia="新宋体" w:cs="新宋体"/>
          <w:b/>
          <w:color w:val="auto"/>
          <w:sz w:val="22"/>
          <w:szCs w:val="22"/>
          <w:highlight w:val="none"/>
        </w:rPr>
        <w:t>。</w:t>
      </w:r>
    </w:p>
    <w:p w14:paraId="28572EA4">
      <w:pPr>
        <w:keepNext w:val="0"/>
        <w:keepLines w:val="0"/>
        <w:pageBreakBefore w:val="0"/>
        <w:widowControl w:val="0"/>
        <w:kinsoku/>
        <w:wordWrap/>
        <w:overflowPunct/>
        <w:topLinePunct w:val="0"/>
        <w:autoSpaceDE/>
        <w:autoSpaceDN/>
        <w:bidi w:val="0"/>
        <w:adjustRightInd/>
        <w:snapToGrid/>
        <w:spacing w:line="460" w:lineRule="exact"/>
        <w:ind w:firstLine="440" w:firstLineChars="200"/>
        <w:jc w:val="lef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4.4</w:t>
      </w:r>
      <w:r>
        <w:rPr>
          <w:rFonts w:hint="eastAsia" w:ascii="新宋体" w:hAnsi="新宋体" w:eastAsia="新宋体" w:cs="新宋体"/>
          <w:b/>
          <w:color w:val="auto"/>
          <w:sz w:val="22"/>
          <w:highlight w:val="none"/>
        </w:rPr>
        <w:t>招标人和招标代理机构不接受任何选择投标，对任何服务</w:t>
      </w:r>
      <w:r>
        <w:rPr>
          <w:rFonts w:hint="eastAsia" w:ascii="新宋体" w:hAnsi="新宋体" w:eastAsia="新宋体" w:cs="新宋体"/>
          <w:b/>
          <w:color w:val="auto"/>
          <w:sz w:val="22"/>
          <w:highlight w:val="none"/>
          <w:lang w:val="en-US" w:eastAsia="zh-CN"/>
        </w:rPr>
        <w:t>或货物</w:t>
      </w:r>
      <w:r>
        <w:rPr>
          <w:rFonts w:hint="eastAsia" w:ascii="新宋体" w:hAnsi="新宋体" w:eastAsia="新宋体" w:cs="新宋体"/>
          <w:b/>
          <w:color w:val="auto"/>
          <w:sz w:val="22"/>
          <w:highlight w:val="none"/>
        </w:rPr>
        <w:t>只允许一个价格。</w:t>
      </w:r>
    </w:p>
    <w:p w14:paraId="5F1C10B2">
      <w:pPr>
        <w:keepNext w:val="0"/>
        <w:keepLines w:val="0"/>
        <w:pageBreakBefore w:val="0"/>
        <w:widowControl w:val="0"/>
        <w:kinsoku/>
        <w:wordWrap/>
        <w:overflowPunct/>
        <w:topLinePunct w:val="0"/>
        <w:autoSpaceDE/>
        <w:autoSpaceDN/>
        <w:bidi w:val="0"/>
        <w:adjustRightInd/>
        <w:snapToGrid/>
        <w:spacing w:line="460" w:lineRule="exact"/>
        <w:ind w:firstLine="440" w:firstLineChars="200"/>
        <w:jc w:val="lef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4.5招标人和</w:t>
      </w:r>
      <w:r>
        <w:rPr>
          <w:rFonts w:hint="eastAsia" w:ascii="新宋体" w:hAnsi="新宋体" w:eastAsia="新宋体" w:cs="新宋体"/>
          <w:color w:val="auto"/>
          <w:sz w:val="22"/>
          <w:highlight w:val="none"/>
        </w:rPr>
        <w:t>招标代理机构</w:t>
      </w:r>
      <w:r>
        <w:rPr>
          <w:rFonts w:hint="eastAsia" w:ascii="新宋体" w:hAnsi="新宋体" w:eastAsia="新宋体" w:cs="新宋体"/>
          <w:color w:val="auto"/>
          <w:sz w:val="22"/>
          <w:szCs w:val="22"/>
          <w:highlight w:val="none"/>
        </w:rPr>
        <w:t>要求分类报价是为了方便评标，但在任何情况下不限制招标人以其认为最合适的条款、条件签订合同的权利。</w:t>
      </w:r>
    </w:p>
    <w:p w14:paraId="0F8954C9">
      <w:pPr>
        <w:keepNext w:val="0"/>
        <w:keepLines w:val="0"/>
        <w:pageBreakBefore w:val="0"/>
        <w:widowControl w:val="0"/>
        <w:kinsoku/>
        <w:wordWrap/>
        <w:overflowPunct/>
        <w:topLinePunct w:val="0"/>
        <w:autoSpaceDE/>
        <w:autoSpaceDN/>
        <w:bidi w:val="0"/>
        <w:adjustRightInd/>
        <w:snapToGrid/>
        <w:spacing w:line="460" w:lineRule="exact"/>
        <w:ind w:firstLine="442" w:firstLineChars="200"/>
        <w:jc w:val="lef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4.6投标报价报出后，投标人不得以任何理由予以变更。任何包含价格调整的要求，将被认为是非实质性响应投标而予以否决。</w:t>
      </w:r>
    </w:p>
    <w:p w14:paraId="0CEF0455">
      <w:pPr>
        <w:keepNext w:val="0"/>
        <w:keepLines w:val="0"/>
        <w:pageBreakBefore w:val="0"/>
        <w:widowControl w:val="0"/>
        <w:kinsoku/>
        <w:wordWrap/>
        <w:overflowPunct/>
        <w:topLinePunct w:val="0"/>
        <w:autoSpaceDE/>
        <w:autoSpaceDN/>
        <w:bidi w:val="0"/>
        <w:adjustRightInd/>
        <w:snapToGrid/>
        <w:spacing w:line="460" w:lineRule="exact"/>
        <w:ind w:firstLine="442" w:firstLineChars="200"/>
        <w:jc w:val="lef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4.7最低报价不能作为中标的保证。</w:t>
      </w:r>
    </w:p>
    <w:p w14:paraId="4AE4B61B">
      <w:pPr>
        <w:keepNext w:val="0"/>
        <w:keepLines w:val="0"/>
        <w:pageBreakBefore w:val="0"/>
        <w:kinsoku/>
        <w:wordWrap/>
        <w:topLinePunct w:val="0"/>
        <w:bidi w:val="0"/>
        <w:spacing w:line="460" w:lineRule="exact"/>
        <w:ind w:firstLine="442" w:firstLineChars="200"/>
        <w:jc w:val="left"/>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5、投标有效期</w:t>
      </w:r>
    </w:p>
    <w:p w14:paraId="7B6BF0C7">
      <w:pPr>
        <w:keepNext w:val="0"/>
        <w:keepLines w:val="0"/>
        <w:pageBreakBefore w:val="0"/>
        <w:kinsoku/>
        <w:wordWrap/>
        <w:topLinePunct w:val="0"/>
        <w:bidi w:val="0"/>
        <w:spacing w:line="460" w:lineRule="exact"/>
        <w:ind w:firstLine="442" w:firstLineChars="200"/>
        <w:jc w:val="left"/>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5.1自开标之日起</w:t>
      </w:r>
      <w:r>
        <w:rPr>
          <w:rFonts w:hint="eastAsia" w:ascii="新宋体" w:hAnsi="新宋体" w:eastAsia="新宋体" w:cs="新宋体"/>
          <w:b/>
          <w:bCs/>
          <w:color w:val="auto"/>
          <w:sz w:val="22"/>
          <w:szCs w:val="22"/>
          <w:highlight w:val="none"/>
          <w:lang w:val="en-US" w:eastAsia="zh-CN"/>
        </w:rPr>
        <w:t>90</w:t>
      </w:r>
      <w:r>
        <w:rPr>
          <w:rFonts w:hint="eastAsia" w:ascii="新宋体" w:hAnsi="新宋体" w:eastAsia="新宋体" w:cs="新宋体"/>
          <w:b/>
          <w:color w:val="auto"/>
          <w:sz w:val="22"/>
          <w:szCs w:val="22"/>
          <w:highlight w:val="none"/>
        </w:rPr>
        <w:t>天内投标应保持有效。</w:t>
      </w:r>
    </w:p>
    <w:p w14:paraId="19C3AB14">
      <w:pPr>
        <w:keepNext w:val="0"/>
        <w:keepLines w:val="0"/>
        <w:pageBreakBefore w:val="0"/>
        <w:kinsoku/>
        <w:wordWrap/>
        <w:topLinePunct w:val="0"/>
        <w:bidi w:val="0"/>
        <w:spacing w:line="460" w:lineRule="exact"/>
        <w:ind w:firstLine="440" w:firstLineChars="200"/>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5.2特殊情况下，在原投标有效期截止前，招标人、招标代理机构可与投标人协商延长投标有效期，这种要求和答复均以书面形式进行。投标人可拒绝接受延期要求。同意延长投标有效期的投标人不得修改投标文件。</w:t>
      </w:r>
    </w:p>
    <w:p w14:paraId="4CC3BE65">
      <w:pPr>
        <w:keepNext w:val="0"/>
        <w:keepLines w:val="0"/>
        <w:pageBreakBefore w:val="0"/>
        <w:kinsoku/>
        <w:wordWrap/>
        <w:topLinePunct w:val="0"/>
        <w:bidi w:val="0"/>
        <w:spacing w:line="460" w:lineRule="exact"/>
        <w:ind w:firstLine="442" w:firstLineChars="200"/>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6、投标保证金</w:t>
      </w:r>
    </w:p>
    <w:p w14:paraId="79BA0750">
      <w:pPr>
        <w:keepNext w:val="0"/>
        <w:keepLines w:val="0"/>
        <w:pageBreakBefore w:val="0"/>
        <w:kinsoku/>
        <w:wordWrap/>
        <w:topLinePunct w:val="0"/>
        <w:bidi w:val="0"/>
        <w:spacing w:line="460" w:lineRule="exact"/>
        <w:ind w:firstLine="440" w:firstLineChars="200"/>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无。</w:t>
      </w:r>
    </w:p>
    <w:p w14:paraId="6C614E0D">
      <w:pPr>
        <w:keepNext w:val="0"/>
        <w:keepLines w:val="0"/>
        <w:pageBreakBefore w:val="0"/>
        <w:kinsoku/>
        <w:wordWrap/>
        <w:topLinePunct w:val="0"/>
        <w:bidi w:val="0"/>
        <w:spacing w:line="460" w:lineRule="exact"/>
        <w:ind w:firstLine="442" w:firstLineChars="200"/>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7、投标文件编制</w:t>
      </w:r>
    </w:p>
    <w:p w14:paraId="3CE7378C">
      <w:pPr>
        <w:keepNext w:val="0"/>
        <w:keepLines w:val="0"/>
        <w:pageBreakBefore w:val="0"/>
        <w:kinsoku/>
        <w:wordWrap/>
        <w:topLinePunct w:val="0"/>
        <w:bidi w:val="0"/>
        <w:spacing w:line="460" w:lineRule="exact"/>
        <w:ind w:firstLine="442" w:firstLineChars="200"/>
        <w:jc w:val="left"/>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7.1本项目通过“</w:t>
      </w:r>
      <w:r>
        <w:rPr>
          <w:rFonts w:hint="eastAsia" w:ascii="新宋体" w:hAnsi="新宋体" w:eastAsia="新宋体" w:cs="新宋体"/>
          <w:b/>
          <w:bCs/>
          <w:color w:val="auto"/>
          <w:sz w:val="22"/>
          <w:szCs w:val="22"/>
          <w:highlight w:val="none"/>
          <w:u w:val="single"/>
          <w:lang w:eastAsia="zh-CN"/>
        </w:rPr>
        <w:t>政采云平台</w:t>
      </w:r>
      <w:r>
        <w:rPr>
          <w:rFonts w:hint="eastAsia" w:ascii="新宋体" w:hAnsi="新宋体" w:eastAsia="新宋体" w:cs="新宋体"/>
          <w:b/>
          <w:bCs/>
          <w:color w:val="auto"/>
          <w:sz w:val="22"/>
          <w:szCs w:val="22"/>
          <w:highlight w:val="none"/>
          <w:u w:val="single"/>
        </w:rPr>
        <w:t>（</w:t>
      </w:r>
      <w:r>
        <w:rPr>
          <w:rFonts w:hint="eastAsia" w:ascii="新宋体" w:hAnsi="新宋体" w:eastAsia="新宋体" w:cs="新宋体"/>
          <w:b/>
          <w:bCs/>
          <w:color w:val="auto"/>
          <w:sz w:val="22"/>
          <w:szCs w:val="22"/>
          <w:highlight w:val="none"/>
          <w:u w:val="single"/>
          <w:lang w:eastAsia="zh-CN"/>
        </w:rPr>
        <w:t>https://zfcg.czt.zj.gov.cn/</w:t>
      </w:r>
      <w:r>
        <w:rPr>
          <w:rFonts w:hint="eastAsia" w:ascii="新宋体" w:hAnsi="新宋体" w:eastAsia="新宋体" w:cs="新宋体"/>
          <w:b/>
          <w:bCs/>
          <w:color w:val="auto"/>
          <w:sz w:val="22"/>
          <w:szCs w:val="22"/>
          <w:highlight w:val="none"/>
          <w:u w:val="single"/>
        </w:rPr>
        <w:t>）”实行在线投标响应（电子投标）。投标人应通过“</w:t>
      </w:r>
      <w:r>
        <w:rPr>
          <w:rFonts w:hint="eastAsia" w:ascii="新宋体" w:hAnsi="新宋体" w:eastAsia="新宋体" w:cs="新宋体"/>
          <w:b/>
          <w:bCs/>
          <w:color w:val="auto"/>
          <w:sz w:val="22"/>
          <w:szCs w:val="22"/>
          <w:highlight w:val="none"/>
          <w:u w:val="single"/>
          <w:lang w:eastAsia="zh-CN"/>
        </w:rPr>
        <w:t>政采云</w:t>
      </w:r>
      <w:r>
        <w:rPr>
          <w:rFonts w:hint="eastAsia" w:ascii="新宋体" w:hAnsi="新宋体" w:eastAsia="新宋体" w:cs="新宋体"/>
          <w:b/>
          <w:bCs/>
          <w:color w:val="auto"/>
          <w:sz w:val="22"/>
          <w:szCs w:val="22"/>
          <w:highlight w:val="none"/>
          <w:u w:val="single"/>
        </w:rPr>
        <w:t>电子交易客户端”，并按照本招标文件和“</w:t>
      </w:r>
      <w:r>
        <w:rPr>
          <w:rFonts w:hint="eastAsia" w:ascii="新宋体" w:hAnsi="新宋体" w:eastAsia="新宋体" w:cs="新宋体"/>
          <w:b/>
          <w:bCs/>
          <w:color w:val="auto"/>
          <w:sz w:val="22"/>
          <w:szCs w:val="22"/>
          <w:highlight w:val="none"/>
          <w:u w:val="single"/>
          <w:lang w:eastAsia="zh-CN"/>
        </w:rPr>
        <w:t>政采云平台</w:t>
      </w:r>
      <w:r>
        <w:rPr>
          <w:rFonts w:hint="eastAsia" w:ascii="新宋体" w:hAnsi="新宋体" w:eastAsia="新宋体" w:cs="新宋体"/>
          <w:b/>
          <w:bCs/>
          <w:color w:val="auto"/>
          <w:sz w:val="22"/>
          <w:szCs w:val="22"/>
          <w:highlight w:val="none"/>
          <w:u w:val="single"/>
        </w:rPr>
        <w:t>”的要求编制并加密投标文件。</w:t>
      </w:r>
    </w:p>
    <w:p w14:paraId="2B7EFF11">
      <w:pPr>
        <w:keepNext w:val="0"/>
        <w:keepLines w:val="0"/>
        <w:pageBreakBefore w:val="0"/>
        <w:kinsoku/>
        <w:wordWrap/>
        <w:topLinePunct w:val="0"/>
        <w:bidi w:val="0"/>
        <w:spacing w:line="460" w:lineRule="exact"/>
        <w:ind w:firstLine="442" w:firstLineChars="200"/>
        <w:jc w:val="left"/>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7.2投标人应当按照本章节“投标文件的构成”规定的内容及顺序在“</w:t>
      </w:r>
      <w:r>
        <w:rPr>
          <w:rFonts w:hint="eastAsia" w:ascii="新宋体" w:hAnsi="新宋体" w:eastAsia="新宋体" w:cs="新宋体"/>
          <w:b/>
          <w:bCs/>
          <w:color w:val="auto"/>
          <w:sz w:val="22"/>
          <w:szCs w:val="22"/>
          <w:highlight w:val="none"/>
          <w:u w:val="single"/>
          <w:lang w:eastAsia="zh-CN"/>
        </w:rPr>
        <w:t>政采云</w:t>
      </w:r>
      <w:r>
        <w:rPr>
          <w:rFonts w:hint="eastAsia" w:ascii="新宋体" w:hAnsi="新宋体" w:eastAsia="新宋体" w:cs="新宋体"/>
          <w:b/>
          <w:bCs/>
          <w:color w:val="auto"/>
          <w:sz w:val="22"/>
          <w:szCs w:val="22"/>
          <w:highlight w:val="none"/>
          <w:u w:val="single"/>
        </w:rPr>
        <w:t>电子交易客户端”编制投标文件。其中《资格文件》和《商务技术文件》中不得出现本项目投标报价。</w:t>
      </w:r>
    </w:p>
    <w:p w14:paraId="0E9FE239">
      <w:pPr>
        <w:keepNext w:val="0"/>
        <w:keepLines w:val="0"/>
        <w:pageBreakBefore w:val="0"/>
        <w:kinsoku/>
        <w:wordWrap/>
        <w:topLinePunct w:val="0"/>
        <w:bidi w:val="0"/>
        <w:spacing w:line="460" w:lineRule="exact"/>
        <w:ind w:firstLine="442" w:firstLineChars="200"/>
        <w:jc w:val="left"/>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7.3本文件《附件》中有提供格式的，投标人须参照格式进行编制（格式中要求提供相关证明材料的还需后附相关证明材料），并按格式要求在指定位置根据要求进行签章，否则视为未提供；本文件《附件》未提供格式的，请各投标单位自行拟定格式，并加盖单位公章并由法定代表人或其授权代表签署（签字或盖章），否则视为未提供。</w:t>
      </w:r>
    </w:p>
    <w:p w14:paraId="5396007D">
      <w:pPr>
        <w:keepNext w:val="0"/>
        <w:keepLines w:val="0"/>
        <w:pageBreakBefore w:val="0"/>
        <w:kinsoku/>
        <w:wordWrap/>
        <w:topLinePunct w:val="0"/>
        <w:bidi w:val="0"/>
        <w:spacing w:line="460" w:lineRule="exact"/>
        <w:ind w:firstLine="442" w:firstLineChars="200"/>
        <w:jc w:val="left"/>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7.4《投标文件》内容不完整、编排混乱导致《投标文件》被误读、漏读或者查找不到相关内容的，投标人自行负责。</w:t>
      </w:r>
    </w:p>
    <w:p w14:paraId="624268F0">
      <w:pPr>
        <w:keepNext w:val="0"/>
        <w:keepLines w:val="0"/>
        <w:pageBreakBefore w:val="0"/>
        <w:kinsoku/>
        <w:wordWrap/>
        <w:topLinePunct w:val="0"/>
        <w:bidi w:val="0"/>
        <w:spacing w:line="460" w:lineRule="exact"/>
        <w:ind w:firstLine="442" w:firstLineChars="200"/>
        <w:jc w:val="left"/>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7.5《投标文件》因字迹潦草或表达不清所引起的后果由投标人负责。</w:t>
      </w:r>
    </w:p>
    <w:p w14:paraId="20EC9EBC">
      <w:pPr>
        <w:keepNext w:val="0"/>
        <w:keepLines w:val="0"/>
        <w:pageBreakBefore w:val="0"/>
        <w:kinsoku/>
        <w:wordWrap/>
        <w:topLinePunct w:val="0"/>
        <w:bidi w:val="0"/>
        <w:spacing w:line="460" w:lineRule="exact"/>
        <w:ind w:firstLine="442" w:firstLineChars="200"/>
        <w:jc w:val="left"/>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7.6投标人没有按照本章节“投标文件的构成”要求提供全部资料，或者没有仔细阅读招标文件，或者没有对招标文件在各方面的要求作出实质性响应是投标人的风险，由此造成的一切后果由投标人自行承担。</w:t>
      </w:r>
    </w:p>
    <w:p w14:paraId="10684265">
      <w:pPr>
        <w:keepNext w:val="0"/>
        <w:keepLines w:val="0"/>
        <w:pageBreakBefore w:val="0"/>
        <w:kinsoku/>
        <w:wordWrap/>
        <w:topLinePunct w:val="0"/>
        <w:bidi w:val="0"/>
        <w:spacing w:line="460" w:lineRule="exact"/>
        <w:ind w:firstLine="442" w:firstLineChars="200"/>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8、投标文件的签章</w:t>
      </w:r>
    </w:p>
    <w:p w14:paraId="741A8229">
      <w:pPr>
        <w:keepNext w:val="0"/>
        <w:keepLines w:val="0"/>
        <w:pageBreakBefore w:val="0"/>
        <w:kinsoku/>
        <w:wordWrap/>
        <w:topLinePunct w:val="0"/>
        <w:bidi w:val="0"/>
        <w:spacing w:line="460" w:lineRule="exact"/>
        <w:ind w:firstLine="442" w:firstLineChars="200"/>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8.1《投标文件》的签章：见《前附表》；</w:t>
      </w:r>
    </w:p>
    <w:p w14:paraId="53425D7E">
      <w:pPr>
        <w:keepNext w:val="0"/>
        <w:keepLines w:val="0"/>
        <w:pageBreakBefore w:val="0"/>
        <w:kinsoku/>
        <w:wordWrap/>
        <w:topLinePunct w:val="0"/>
        <w:bidi w:val="0"/>
        <w:spacing w:line="460" w:lineRule="exact"/>
        <w:ind w:firstLine="442" w:firstLineChars="200"/>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8.2《投标文件》应由投标人法定代表人或其授权代表签字（或盖章），并时加盖投标人公章。</w:t>
      </w:r>
    </w:p>
    <w:p w14:paraId="6DF2ECB8">
      <w:pPr>
        <w:keepNext w:val="0"/>
        <w:keepLines w:val="0"/>
        <w:pageBreakBefore w:val="0"/>
        <w:kinsoku/>
        <w:wordWrap/>
        <w:topLinePunct w:val="0"/>
        <w:bidi w:val="0"/>
        <w:spacing w:line="460" w:lineRule="exact"/>
        <w:ind w:firstLine="442" w:firstLineChars="200"/>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8.3电子签章操作指南详见采购公告附件《投标人项目采购-电子招投标操作指南》。</w:t>
      </w:r>
    </w:p>
    <w:p w14:paraId="6F6E164F">
      <w:pPr>
        <w:keepNext w:val="0"/>
        <w:keepLines w:val="0"/>
        <w:pageBreakBefore w:val="0"/>
        <w:kinsoku/>
        <w:wordWrap/>
        <w:topLinePunct w:val="0"/>
        <w:bidi w:val="0"/>
        <w:spacing w:line="460" w:lineRule="exact"/>
        <w:ind w:firstLine="442" w:firstLineChars="200"/>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9、投标文件的形式</w:t>
      </w:r>
    </w:p>
    <w:p w14:paraId="1BC6D69D">
      <w:pPr>
        <w:keepNext w:val="0"/>
        <w:keepLines w:val="0"/>
        <w:pageBreakBefore w:val="0"/>
        <w:kinsoku/>
        <w:wordWrap/>
        <w:topLinePunct w:val="0"/>
        <w:bidi w:val="0"/>
        <w:spacing w:line="460" w:lineRule="exact"/>
        <w:ind w:firstLine="442" w:firstLineChars="200"/>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9.1投标文件的形式：见《前附表》；</w:t>
      </w:r>
    </w:p>
    <w:p w14:paraId="40877914">
      <w:pPr>
        <w:keepNext w:val="0"/>
        <w:keepLines w:val="0"/>
        <w:pageBreakBefore w:val="0"/>
        <w:kinsoku/>
        <w:wordWrap/>
        <w:topLinePunct w:val="0"/>
        <w:bidi w:val="0"/>
        <w:spacing w:line="460" w:lineRule="exact"/>
        <w:ind w:firstLine="442" w:firstLineChars="200"/>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9.2“电子加密投标文件”：“电子加密投标文件”是指通过“</w:t>
      </w:r>
      <w:r>
        <w:rPr>
          <w:rFonts w:hint="eastAsia" w:ascii="新宋体" w:hAnsi="新宋体" w:eastAsia="新宋体" w:cs="新宋体"/>
          <w:b/>
          <w:bCs/>
          <w:color w:val="auto"/>
          <w:sz w:val="22"/>
          <w:szCs w:val="22"/>
          <w:highlight w:val="none"/>
          <w:lang w:eastAsia="zh-CN"/>
        </w:rPr>
        <w:t>政采云</w:t>
      </w:r>
      <w:r>
        <w:rPr>
          <w:rFonts w:hint="eastAsia" w:ascii="新宋体" w:hAnsi="新宋体" w:eastAsia="新宋体" w:cs="新宋体"/>
          <w:b/>
          <w:bCs/>
          <w:color w:val="auto"/>
          <w:sz w:val="22"/>
          <w:szCs w:val="22"/>
          <w:highlight w:val="none"/>
        </w:rPr>
        <w:t>电子交易客户端”完成投标文件编制后生成并加密的数据电文形式的投标文件。</w:t>
      </w:r>
    </w:p>
    <w:p w14:paraId="29735462">
      <w:pPr>
        <w:keepNext w:val="0"/>
        <w:keepLines w:val="0"/>
        <w:pageBreakBefore w:val="0"/>
        <w:kinsoku/>
        <w:wordWrap/>
        <w:topLinePunct w:val="0"/>
        <w:bidi w:val="0"/>
        <w:spacing w:line="460" w:lineRule="exact"/>
        <w:ind w:firstLine="442" w:firstLineChars="200"/>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9.3“备份投标文件”：“备份投标文件”是指与“电子加密投标文件”同时生成的数据电文形式的电子文件（备份标书），其他方式编制的“备份投标文件”视为无效的“备份投标文件”。</w:t>
      </w:r>
    </w:p>
    <w:p w14:paraId="3FCEC0B6">
      <w:pPr>
        <w:keepNext w:val="0"/>
        <w:keepLines w:val="0"/>
        <w:pageBreakBefore w:val="0"/>
        <w:kinsoku/>
        <w:wordWrap/>
        <w:topLinePunct w:val="0"/>
        <w:bidi w:val="0"/>
        <w:spacing w:line="460" w:lineRule="exact"/>
        <w:ind w:firstLine="442" w:firstLineChars="200"/>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10、投标文件的份数</w:t>
      </w:r>
    </w:p>
    <w:p w14:paraId="54D5D480">
      <w:pPr>
        <w:keepNext w:val="0"/>
        <w:keepLines w:val="0"/>
        <w:pageBreakBefore w:val="0"/>
        <w:kinsoku/>
        <w:wordWrap/>
        <w:topLinePunct w:val="0"/>
        <w:bidi w:val="0"/>
        <w:spacing w:line="460" w:lineRule="exact"/>
        <w:ind w:firstLine="442" w:firstLineChars="200"/>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10.1投标文件的份数：见《前附表》。</w:t>
      </w:r>
    </w:p>
    <w:p w14:paraId="4518A4FE">
      <w:pPr>
        <w:spacing w:before="100" w:beforeAutospacing="1" w:after="100" w:afterAutospacing="1" w:line="440" w:lineRule="exact"/>
        <w:jc w:val="center"/>
        <w:outlineLvl w:val="2"/>
        <w:rPr>
          <w:rFonts w:hint="eastAsia" w:ascii="新宋体" w:hAnsi="新宋体" w:eastAsia="新宋体" w:cs="新宋体"/>
          <w:b/>
          <w:bCs/>
          <w:color w:val="auto"/>
          <w:sz w:val="22"/>
          <w:szCs w:val="22"/>
          <w:highlight w:val="none"/>
        </w:rPr>
      </w:pPr>
      <w:bookmarkStart w:id="17" w:name="_Toc29614"/>
      <w:r>
        <w:rPr>
          <w:rFonts w:hint="eastAsia" w:ascii="新宋体" w:hAnsi="新宋体" w:eastAsia="新宋体" w:cs="新宋体"/>
          <w:b/>
          <w:bCs/>
          <w:color w:val="auto"/>
          <w:sz w:val="22"/>
          <w:szCs w:val="22"/>
          <w:highlight w:val="none"/>
        </w:rPr>
        <w:t>四、 投标文件的递交</w:t>
      </w:r>
      <w:bookmarkEnd w:id="17"/>
    </w:p>
    <w:p w14:paraId="48117B9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1、投标文件的上传和递交</w:t>
      </w:r>
    </w:p>
    <w:p w14:paraId="4D23BD2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1.1“投标文件”的上传、递交见《前附表》。</w:t>
      </w:r>
    </w:p>
    <w:p w14:paraId="33D60C7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2、“电子加密投标文件”解密和异常情况处理</w:t>
      </w:r>
    </w:p>
    <w:p w14:paraId="55E6623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2.1“电子加密投标文件”解密：见《前附表》。</w:t>
      </w:r>
    </w:p>
    <w:p w14:paraId="11D14E9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3、投标文件的补充、修改或撤回</w:t>
      </w:r>
    </w:p>
    <w:p w14:paraId="0DD4106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3.1投标人应当在投标截止时间前完成投标文件的上传、递交，并可以补充、修改或者撤回投标文件。补充或者修改投标文件的，应当先行撤回原文件，补充、修改后重新上传、递交。投标截止时间前未完成上传、递交的，视为撤回投标文件。投标截止时间后递交的投标文件，“</w:t>
      </w:r>
      <w:r>
        <w:rPr>
          <w:rFonts w:hint="eastAsia" w:ascii="新宋体" w:hAnsi="新宋体" w:eastAsia="新宋体" w:cs="新宋体"/>
          <w:color w:val="auto"/>
          <w:sz w:val="22"/>
          <w:szCs w:val="22"/>
          <w:highlight w:val="none"/>
          <w:lang w:eastAsia="zh-CN"/>
        </w:rPr>
        <w:t>政采云平台</w:t>
      </w:r>
      <w:r>
        <w:rPr>
          <w:rFonts w:hint="eastAsia" w:ascii="新宋体" w:hAnsi="新宋体" w:eastAsia="新宋体" w:cs="新宋体"/>
          <w:color w:val="auto"/>
          <w:sz w:val="22"/>
          <w:szCs w:val="22"/>
          <w:highlight w:val="none"/>
        </w:rPr>
        <w:t>”将予以拒收。</w:t>
      </w:r>
    </w:p>
    <w:p w14:paraId="13B7A00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3.2投标截止时间后，投标人不得撤回、修改《投标文件》。</w:t>
      </w:r>
    </w:p>
    <w:p w14:paraId="0881C37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4、投标文件的备选方案</w:t>
      </w:r>
    </w:p>
    <w:p w14:paraId="5D50133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4.1投标人不得递交任何的投标备选（替代）方案，否则其投标文件将作无效标处理。与“电子加密投标文件”同时生成的“备份投标文件”不是投标备选（替代）方案。</w:t>
      </w:r>
    </w:p>
    <w:p w14:paraId="01208539">
      <w:pPr>
        <w:spacing w:before="100" w:beforeAutospacing="1" w:after="100" w:afterAutospacing="1" w:line="460" w:lineRule="exact"/>
        <w:jc w:val="center"/>
        <w:outlineLvl w:val="2"/>
        <w:rPr>
          <w:rFonts w:hint="eastAsia" w:ascii="新宋体" w:hAnsi="新宋体" w:eastAsia="新宋体" w:cs="新宋体"/>
          <w:b/>
          <w:bCs/>
          <w:color w:val="auto"/>
          <w:sz w:val="22"/>
          <w:szCs w:val="22"/>
          <w:highlight w:val="none"/>
        </w:rPr>
      </w:pPr>
      <w:bookmarkStart w:id="18" w:name="_Toc8700"/>
      <w:r>
        <w:rPr>
          <w:rFonts w:hint="eastAsia" w:ascii="新宋体" w:hAnsi="新宋体" w:eastAsia="新宋体" w:cs="新宋体"/>
          <w:b/>
          <w:bCs/>
          <w:color w:val="auto"/>
          <w:sz w:val="22"/>
          <w:szCs w:val="22"/>
          <w:highlight w:val="none"/>
        </w:rPr>
        <w:t>五、 开标和评标</w:t>
      </w:r>
      <w:bookmarkEnd w:id="18"/>
    </w:p>
    <w:p w14:paraId="6F89CB84">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1、评标委员会</w:t>
      </w:r>
    </w:p>
    <w:p w14:paraId="7CE5D35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招标人和招标代理机构组建评标委员会。评标委员会的成员在评标过程中必须严格遵守《政府采购法》等有关法律、法规的规定。</w:t>
      </w:r>
    </w:p>
    <w:p w14:paraId="51C97D50">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2、评标过程的保密性</w:t>
      </w:r>
    </w:p>
    <w:p w14:paraId="3C9817E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开标后直至向成交投标人授予合同时止，凡与评审有关的资料均不得向投标人及与评标无关人员透露。如果投标人在评标过程中试图向招标人和招标代理机构施加影响，其投标将被拒绝。</w:t>
      </w:r>
    </w:p>
    <w:p w14:paraId="16D0659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3、开标形式</w:t>
      </w:r>
    </w:p>
    <w:p w14:paraId="076F7F4D">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采购组织机构将按照招标文件规定的时间通过“</w:t>
      </w:r>
      <w:r>
        <w:rPr>
          <w:rFonts w:hint="eastAsia" w:ascii="新宋体" w:hAnsi="新宋体" w:eastAsia="新宋体" w:cs="新宋体"/>
          <w:b/>
          <w:color w:val="auto"/>
          <w:sz w:val="22"/>
          <w:szCs w:val="22"/>
          <w:highlight w:val="none"/>
          <w:lang w:eastAsia="zh-CN"/>
        </w:rPr>
        <w:t>政采云平台</w:t>
      </w:r>
      <w:r>
        <w:rPr>
          <w:rFonts w:hint="eastAsia" w:ascii="新宋体" w:hAnsi="新宋体" w:eastAsia="新宋体" w:cs="新宋体"/>
          <w:b/>
          <w:color w:val="auto"/>
          <w:sz w:val="22"/>
          <w:szCs w:val="22"/>
          <w:highlight w:val="none"/>
        </w:rPr>
        <w:t>”组织开标、开启投标文件，所有投标人均应当准时（在线）参加。</w:t>
      </w:r>
    </w:p>
    <w:p w14:paraId="1AFB877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4、开标准备</w:t>
      </w:r>
    </w:p>
    <w:p w14:paraId="5FC2CE3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4.1开标的准备工作由采购组织机构负责落实；</w:t>
      </w:r>
    </w:p>
    <w:p w14:paraId="714E332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4.2</w:t>
      </w:r>
      <w:r>
        <w:rPr>
          <w:rFonts w:hint="eastAsia" w:ascii="新宋体" w:hAnsi="新宋体" w:eastAsia="新宋体" w:cs="新宋体"/>
          <w:b/>
          <w:color w:val="auto"/>
          <w:sz w:val="22"/>
          <w:szCs w:val="22"/>
          <w:highlight w:val="none"/>
        </w:rPr>
        <w:t>采购组织机构将按照招标文件规定的时间通过“</w:t>
      </w:r>
      <w:r>
        <w:rPr>
          <w:rFonts w:hint="eastAsia" w:ascii="新宋体" w:hAnsi="新宋体" w:eastAsia="新宋体" w:cs="新宋体"/>
          <w:b/>
          <w:color w:val="auto"/>
          <w:sz w:val="22"/>
          <w:szCs w:val="22"/>
          <w:highlight w:val="none"/>
          <w:lang w:eastAsia="zh-CN"/>
        </w:rPr>
        <w:t>政采云平台</w:t>
      </w:r>
      <w:r>
        <w:rPr>
          <w:rFonts w:hint="eastAsia" w:ascii="新宋体" w:hAnsi="新宋体" w:eastAsia="新宋体" w:cs="新宋体"/>
          <w:b/>
          <w:color w:val="auto"/>
          <w:sz w:val="22"/>
          <w:szCs w:val="22"/>
          <w:highlight w:val="none"/>
        </w:rPr>
        <w:t>”组织开标、开启投标文件，所有投标人均应当准时（在线）参加。</w:t>
      </w:r>
      <w:r>
        <w:rPr>
          <w:rFonts w:hint="eastAsia" w:ascii="新宋体" w:hAnsi="新宋体" w:eastAsia="新宋体" w:cs="新宋体"/>
          <w:b/>
          <w:color w:val="auto"/>
          <w:kern w:val="0"/>
          <w:sz w:val="22"/>
          <w:szCs w:val="22"/>
          <w:highlight w:val="none"/>
        </w:rPr>
        <w:t>投标人如不参加开标大会的，视同认可开标结果，事后不得对采购相关人员、开标过程和开标结果提出异议，同时投标人因未在线参加开标而导致投标文件无法按时解密等一切后果由投标人自己承担。</w:t>
      </w:r>
    </w:p>
    <w:p w14:paraId="00C23992">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5、开标流程</w:t>
      </w:r>
    </w:p>
    <w:p w14:paraId="490DA9C8">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5.1开标、评标</w:t>
      </w:r>
    </w:p>
    <w:p w14:paraId="6ADC093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（1）向各投标人发出电子加密投标文件【开始解密】通知，由投标人按招标文件规定的时间内自行进行投标文件解密。投标人在规定的时间内无法完成已递交的“电子加密投标文件”解密的，如已按规 定递交了备份投标文件的，将由采购组织机构按“</w:t>
      </w:r>
      <w:r>
        <w:rPr>
          <w:rFonts w:hint="eastAsia" w:ascii="新宋体" w:hAnsi="新宋体" w:eastAsia="新宋体" w:cs="新宋体"/>
          <w:color w:val="auto"/>
          <w:kern w:val="0"/>
          <w:sz w:val="22"/>
          <w:szCs w:val="22"/>
          <w:highlight w:val="none"/>
          <w:lang w:eastAsia="zh-CN"/>
        </w:rPr>
        <w:t>政采云平台</w:t>
      </w:r>
      <w:r>
        <w:rPr>
          <w:rFonts w:hint="eastAsia" w:ascii="新宋体" w:hAnsi="新宋体" w:eastAsia="新宋体" w:cs="新宋体"/>
          <w:color w:val="auto"/>
          <w:kern w:val="0"/>
          <w:sz w:val="22"/>
          <w:szCs w:val="22"/>
          <w:highlight w:val="none"/>
        </w:rPr>
        <w:t>”操作规范将备份投标文件上传至“</w:t>
      </w:r>
      <w:r>
        <w:rPr>
          <w:rFonts w:hint="eastAsia" w:ascii="新宋体" w:hAnsi="新宋体" w:eastAsia="新宋体" w:cs="新宋体"/>
          <w:color w:val="auto"/>
          <w:kern w:val="0"/>
          <w:sz w:val="22"/>
          <w:szCs w:val="22"/>
          <w:highlight w:val="none"/>
          <w:lang w:eastAsia="zh-CN"/>
        </w:rPr>
        <w:t>政采云平台</w:t>
      </w:r>
      <w:r>
        <w:rPr>
          <w:rFonts w:hint="eastAsia" w:ascii="新宋体" w:hAnsi="新宋体" w:eastAsia="新宋体" w:cs="新宋体"/>
          <w:color w:val="auto"/>
          <w:kern w:val="0"/>
          <w:sz w:val="22"/>
          <w:szCs w:val="22"/>
          <w:highlight w:val="none"/>
        </w:rPr>
        <w:t>”，上传成功后，“电子加密投标文件”自动失效；</w:t>
      </w:r>
    </w:p>
    <w:p w14:paraId="2DD2A5D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投标人不足3家的，不得开标。</w:t>
      </w:r>
    </w:p>
    <w:p w14:paraId="33753C7C">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（2）解密成功后，开启投标人的《报价文件》，投标人通过</w:t>
      </w:r>
      <w:r>
        <w:rPr>
          <w:rFonts w:hint="eastAsia" w:ascii="新宋体" w:hAnsi="新宋体" w:eastAsia="新宋体" w:cs="新宋体"/>
          <w:color w:val="auto"/>
          <w:kern w:val="0"/>
          <w:sz w:val="22"/>
          <w:szCs w:val="22"/>
          <w:highlight w:val="none"/>
          <w:lang w:eastAsia="zh-CN"/>
        </w:rPr>
        <w:t>政采云</w:t>
      </w:r>
      <w:r>
        <w:rPr>
          <w:rFonts w:hint="eastAsia" w:ascii="新宋体" w:hAnsi="新宋体" w:eastAsia="新宋体" w:cs="新宋体"/>
          <w:color w:val="auto"/>
          <w:kern w:val="0"/>
          <w:sz w:val="22"/>
          <w:szCs w:val="22"/>
          <w:highlight w:val="none"/>
        </w:rPr>
        <w:t>系统对自己报价文件相关内容进行签字确认（不予确认的应说明理由，否则视为无异议）。</w:t>
      </w:r>
    </w:p>
    <w:p w14:paraId="1165DCE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（3）开启《投标文件》，进入资格审查；</w:t>
      </w:r>
      <w:r>
        <w:rPr>
          <w:rFonts w:hint="eastAsia" w:ascii="新宋体" w:hAnsi="新宋体" w:eastAsia="新宋体" w:cs="新宋体"/>
          <w:bCs/>
          <w:color w:val="auto"/>
          <w:sz w:val="22"/>
          <w:szCs w:val="22"/>
          <w:highlight w:val="none"/>
        </w:rPr>
        <w:t>合格投标人不足3家的，不得评标。</w:t>
      </w:r>
    </w:p>
    <w:p w14:paraId="79F136D1">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b/>
          <w:color w:val="auto"/>
          <w:kern w:val="0"/>
          <w:sz w:val="22"/>
          <w:szCs w:val="22"/>
          <w:highlight w:val="none"/>
        </w:rPr>
        <w:t>备注：开标大会的结束后，招标人或</w:t>
      </w:r>
      <w:r>
        <w:rPr>
          <w:rFonts w:hint="eastAsia" w:ascii="新宋体" w:hAnsi="新宋体" w:eastAsia="新宋体" w:cs="新宋体"/>
          <w:b/>
          <w:color w:val="auto"/>
          <w:kern w:val="0"/>
          <w:sz w:val="22"/>
          <w:szCs w:val="22"/>
          <w:highlight w:val="none"/>
          <w:lang w:eastAsia="zh-CN"/>
        </w:rPr>
        <w:t>招标代理机构</w:t>
      </w:r>
      <w:r>
        <w:rPr>
          <w:rFonts w:hint="eastAsia" w:ascii="新宋体" w:hAnsi="新宋体" w:eastAsia="新宋体" w:cs="新宋体"/>
          <w:b/>
          <w:color w:val="auto"/>
          <w:kern w:val="0"/>
          <w:sz w:val="22"/>
          <w:szCs w:val="22"/>
          <w:highlight w:val="none"/>
        </w:rPr>
        <w:t>将对依法对投标人的资格进行审查，资格审查结束后进入符合性审查和商务技术的评审工作，具体见本章节“投标人资格审查”相关规定。</w:t>
      </w:r>
    </w:p>
    <w:p w14:paraId="3CE95B1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color w:val="auto"/>
          <w:kern w:val="0"/>
          <w:sz w:val="22"/>
          <w:szCs w:val="22"/>
          <w:highlight w:val="none"/>
        </w:rPr>
        <w:t>（4）开启资格审查通过的投标人的商务技术文件进入符合性审查，</w:t>
      </w:r>
      <w:r>
        <w:rPr>
          <w:rFonts w:hint="eastAsia" w:ascii="新宋体" w:hAnsi="新宋体" w:eastAsia="新宋体" w:cs="新宋体"/>
          <w:bCs/>
          <w:color w:val="auto"/>
          <w:sz w:val="22"/>
          <w:szCs w:val="22"/>
          <w:highlight w:val="none"/>
        </w:rPr>
        <w:t>以确定其是否满足招标文件的实质性要求，合格投标人不足3家的，不得评标。</w:t>
      </w:r>
    </w:p>
    <w:p w14:paraId="4CAA741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没有满足招标文件的实质性要求的投标作无效标处理。评标委员会决定投标的实质性要求只根据投标文件本身的内容，而不寻求外部的证据。投标人不得通过修正或撤消不合要求的偏离或保留从而使其投标成为实质上响应的投标。</w:t>
      </w:r>
    </w:p>
    <w:p w14:paraId="5C2BDF9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（5）对通过资格审查、符合性审查的合格投标人进行商务技术部分的评审。</w:t>
      </w:r>
    </w:p>
    <w:p w14:paraId="6F77F43C">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（6）评标委员会对报价的合理性、准确性等进行审查核实。</w:t>
      </w:r>
    </w:p>
    <w:p w14:paraId="3FB1D56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（7）评审结束后，公布中标（成交）候选投标人名单及招标人最终确定中标或成交投标人名单的时间和公告方式等。</w:t>
      </w:r>
    </w:p>
    <w:p w14:paraId="3DC49E62">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特别说明：如遇“</w:t>
      </w:r>
      <w:r>
        <w:rPr>
          <w:rFonts w:hint="eastAsia" w:ascii="新宋体" w:hAnsi="新宋体" w:eastAsia="新宋体" w:cs="新宋体"/>
          <w:b/>
          <w:color w:val="auto"/>
          <w:kern w:val="0"/>
          <w:sz w:val="22"/>
          <w:szCs w:val="22"/>
          <w:highlight w:val="none"/>
          <w:lang w:eastAsia="zh-CN"/>
        </w:rPr>
        <w:t>政采云平台</w:t>
      </w:r>
      <w:r>
        <w:rPr>
          <w:rFonts w:hint="eastAsia" w:ascii="新宋体" w:hAnsi="新宋体" w:eastAsia="新宋体" w:cs="新宋体"/>
          <w:b/>
          <w:color w:val="auto"/>
          <w:kern w:val="0"/>
          <w:sz w:val="22"/>
          <w:szCs w:val="22"/>
          <w:highlight w:val="none"/>
        </w:rPr>
        <w:t>”电子化开标或评审程序调整的，按调整后程序执行。</w:t>
      </w:r>
    </w:p>
    <w:p w14:paraId="3DE7463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bookmarkStart w:id="19" w:name="_Toc33194393"/>
      <w:bookmarkStart w:id="20" w:name="_Toc24550037"/>
      <w:r>
        <w:rPr>
          <w:rFonts w:hint="eastAsia" w:ascii="新宋体" w:hAnsi="新宋体" w:eastAsia="新宋体" w:cs="新宋体"/>
          <w:color w:val="auto"/>
          <w:sz w:val="22"/>
          <w:szCs w:val="22"/>
          <w:highlight w:val="none"/>
        </w:rPr>
        <w:t>6、投标人资格审查</w:t>
      </w:r>
      <w:bookmarkEnd w:id="19"/>
      <w:bookmarkEnd w:id="20"/>
    </w:p>
    <w:p w14:paraId="4F639544">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6.1开标大会结束后，招标人或</w:t>
      </w:r>
      <w:r>
        <w:rPr>
          <w:rFonts w:hint="eastAsia" w:ascii="新宋体" w:hAnsi="新宋体" w:eastAsia="新宋体" w:cs="新宋体"/>
          <w:b/>
          <w:color w:val="auto"/>
          <w:sz w:val="22"/>
          <w:szCs w:val="22"/>
          <w:highlight w:val="none"/>
          <w:lang w:eastAsia="zh-CN"/>
        </w:rPr>
        <w:t>招标代理机构</w:t>
      </w:r>
      <w:r>
        <w:rPr>
          <w:rFonts w:hint="eastAsia" w:ascii="新宋体" w:hAnsi="新宋体" w:eastAsia="新宋体" w:cs="新宋体"/>
          <w:b/>
          <w:color w:val="auto"/>
          <w:sz w:val="22"/>
          <w:szCs w:val="22"/>
          <w:highlight w:val="none"/>
        </w:rPr>
        <w:t>首先依法对各投标人的资格进行审查，审查各投标人的资格是否满足招标文件的要求。</w:t>
      </w:r>
      <w:r>
        <w:rPr>
          <w:rFonts w:hint="eastAsia" w:ascii="新宋体" w:hAnsi="新宋体" w:eastAsia="新宋体" w:cs="新宋体"/>
          <w:color w:val="auto"/>
          <w:sz w:val="22"/>
          <w:szCs w:val="22"/>
          <w:highlight w:val="none"/>
        </w:rPr>
        <w:t>招标人或</w:t>
      </w:r>
      <w:r>
        <w:rPr>
          <w:rFonts w:hint="eastAsia" w:ascii="新宋体" w:hAnsi="新宋体" w:eastAsia="新宋体" w:cs="新宋体"/>
          <w:color w:val="auto"/>
          <w:sz w:val="22"/>
          <w:szCs w:val="22"/>
          <w:highlight w:val="none"/>
          <w:lang w:eastAsia="zh-CN"/>
        </w:rPr>
        <w:t>招标代理机构</w:t>
      </w:r>
      <w:r>
        <w:rPr>
          <w:rFonts w:hint="eastAsia" w:ascii="新宋体" w:hAnsi="新宋体" w:eastAsia="新宋体" w:cs="新宋体"/>
          <w:color w:val="auto"/>
          <w:sz w:val="22"/>
          <w:szCs w:val="22"/>
          <w:highlight w:val="none"/>
        </w:rPr>
        <w:t>对投标人所提交的资格证明材料仅负审核的责任。如发现投标人所提交的资格证明材料不合法或与事实不符，招标人可取消其中标资格并追究投标人的法律责任。</w:t>
      </w:r>
    </w:p>
    <w:p w14:paraId="731FB273">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sz w:val="22"/>
          <w:szCs w:val="22"/>
          <w:highlight w:val="none"/>
        </w:rPr>
        <w:t>6.2投标人提交的资格证明材料无法证明其符合招标文件规定的“投标人资格要求”的，招标人或</w:t>
      </w:r>
      <w:r>
        <w:rPr>
          <w:rFonts w:hint="eastAsia" w:ascii="新宋体" w:hAnsi="新宋体" w:eastAsia="新宋体" w:cs="新宋体"/>
          <w:b/>
          <w:color w:val="auto"/>
          <w:sz w:val="22"/>
          <w:szCs w:val="22"/>
          <w:highlight w:val="none"/>
          <w:lang w:eastAsia="zh-CN"/>
        </w:rPr>
        <w:t>招标代理机构</w:t>
      </w:r>
      <w:r>
        <w:rPr>
          <w:rFonts w:hint="eastAsia" w:ascii="新宋体" w:hAnsi="新宋体" w:eastAsia="新宋体" w:cs="新宋体"/>
          <w:b/>
          <w:color w:val="auto"/>
          <w:kern w:val="0"/>
          <w:sz w:val="22"/>
          <w:szCs w:val="22"/>
          <w:highlight w:val="none"/>
        </w:rPr>
        <w:t>将对其作资格审查不通过处理（无效投标），并不再将其投标提交评标委员会进行后续评审。</w:t>
      </w:r>
    </w:p>
    <w:p w14:paraId="7121A8F3">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6</w:t>
      </w:r>
      <w:r>
        <w:rPr>
          <w:rFonts w:hint="eastAsia" w:ascii="新宋体" w:hAnsi="新宋体" w:eastAsia="新宋体" w:cs="新宋体"/>
          <w:b/>
          <w:color w:val="auto"/>
          <w:kern w:val="0"/>
          <w:sz w:val="22"/>
          <w:szCs w:val="22"/>
          <w:highlight w:val="none"/>
        </w:rPr>
        <w:t>.3单位负责人为同一人或者存在直接控股、管理关系的不同投标人参加同一合同项下的政府采购活动的，相关投标人均作资格无效处理。</w:t>
      </w:r>
    </w:p>
    <w:p w14:paraId="3AD233B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7、评标委员按照招标文件中规定的评标方法和标准，对投标文件进行商务和技术评估，综合比较与评价。</w:t>
      </w:r>
    </w:p>
    <w:p w14:paraId="3850D855">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u w:val="single"/>
        </w:rPr>
      </w:pPr>
      <w:r>
        <w:rPr>
          <w:rFonts w:hint="eastAsia" w:ascii="新宋体" w:hAnsi="新宋体" w:eastAsia="新宋体" w:cs="新宋体"/>
          <w:b/>
          <w:color w:val="auto"/>
          <w:sz w:val="22"/>
          <w:szCs w:val="22"/>
          <w:highlight w:val="none"/>
          <w:u w:val="single"/>
        </w:rPr>
        <w:t>8、投标人存在下列情况之一的，投标无效：</w:t>
      </w:r>
    </w:p>
    <w:p w14:paraId="7759EC0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 投标文件未按招标文件要求签署、盖章的；</w:t>
      </w:r>
    </w:p>
    <w:p w14:paraId="18155B1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（2） 不具备招标文件中规定的资格要求的； </w:t>
      </w:r>
    </w:p>
    <w:p w14:paraId="23FACA2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 明显不符合招标文件中主要技术规格、技术标准的；</w:t>
      </w:r>
    </w:p>
    <w:p w14:paraId="2CB85AA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（4） “</w:t>
      </w:r>
      <w:r>
        <w:rPr>
          <w:rFonts w:hint="eastAsia" w:ascii="新宋体" w:hAnsi="新宋体" w:eastAsia="新宋体" w:cs="新宋体"/>
          <w:color w:val="auto"/>
          <w:sz w:val="22"/>
          <w:szCs w:val="22"/>
          <w:highlight w:val="none"/>
        </w:rPr>
        <w:t>▲</w:t>
      </w:r>
      <w:r>
        <w:rPr>
          <w:rFonts w:hint="eastAsia" w:ascii="新宋体" w:hAnsi="新宋体" w:eastAsia="新宋体" w:cs="新宋体"/>
          <w:bCs/>
          <w:color w:val="auto"/>
          <w:sz w:val="22"/>
          <w:szCs w:val="22"/>
          <w:highlight w:val="none"/>
        </w:rPr>
        <w:t>”标记条款负偏离或不响应的；</w:t>
      </w:r>
    </w:p>
    <w:p w14:paraId="184F368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（5） 投标文件内容不全或关键字迹模糊无法辨认的；</w:t>
      </w:r>
    </w:p>
    <w:p w14:paraId="314728A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（6） 投标人代表没有法定代表人合法、有效委托的；</w:t>
      </w:r>
    </w:p>
    <w:p w14:paraId="5A7563D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（7） 报价超过招标文件中规定的预算金额或者最高限价的；</w:t>
      </w:r>
    </w:p>
    <w:p w14:paraId="3D03294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 投标文件存在一个或一个以上备选（替代）投标方案的；</w:t>
      </w:r>
    </w:p>
    <w:p w14:paraId="703E400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highlight w:val="none"/>
        </w:rPr>
      </w:pPr>
      <w:r>
        <w:rPr>
          <w:rFonts w:hint="eastAsia" w:ascii="新宋体" w:hAnsi="新宋体" w:eastAsia="新宋体" w:cs="新宋体"/>
          <w:color w:val="auto"/>
          <w:sz w:val="22"/>
          <w:szCs w:val="22"/>
          <w:highlight w:val="none"/>
        </w:rPr>
        <w:t>（9） 仅提交“备份投标文件”的；</w:t>
      </w:r>
    </w:p>
    <w:p w14:paraId="4078F99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（10）投标文件含有招标人不能接受的附加条件的；</w:t>
      </w:r>
    </w:p>
    <w:p w14:paraId="7BA62AC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Cs/>
          <w:color w:val="auto"/>
          <w:sz w:val="22"/>
          <w:szCs w:val="22"/>
          <w:highlight w:val="none"/>
          <w:lang w:val="en-US" w:eastAsia="zh-CN"/>
        </w:rPr>
        <w:t>11</w:t>
      </w: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
          <w:bCs w:val="0"/>
          <w:color w:val="auto"/>
          <w:sz w:val="22"/>
          <w:szCs w:val="22"/>
          <w:highlight w:val="none"/>
          <w:lang w:eastAsia="zh-CN"/>
        </w:rPr>
        <w:t>如为联合体投标，未提供有效的联合体共同投标协议书的</w:t>
      </w:r>
      <w:r>
        <w:rPr>
          <w:rFonts w:hint="eastAsia" w:ascii="新宋体" w:hAnsi="新宋体" w:eastAsia="新宋体" w:cs="新宋体"/>
          <w:bCs/>
          <w:color w:val="auto"/>
          <w:sz w:val="22"/>
          <w:szCs w:val="22"/>
          <w:highlight w:val="none"/>
        </w:rPr>
        <w:t>；</w:t>
      </w:r>
    </w:p>
    <w:p w14:paraId="476A1F3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w:t>
      </w:r>
      <w:r>
        <w:rPr>
          <w:rFonts w:hint="eastAsia" w:ascii="新宋体" w:hAnsi="新宋体" w:eastAsia="新宋体" w:cs="新宋体"/>
          <w:bCs/>
          <w:color w:val="auto"/>
          <w:sz w:val="22"/>
          <w:szCs w:val="22"/>
          <w:highlight w:val="none"/>
          <w:lang w:val="en-US" w:eastAsia="zh-CN"/>
        </w:rPr>
        <w:t>2</w:t>
      </w:r>
      <w:r>
        <w:rPr>
          <w:rFonts w:hint="eastAsia" w:ascii="新宋体" w:hAnsi="新宋体" w:eastAsia="新宋体" w:cs="新宋体"/>
          <w:bCs/>
          <w:color w:val="auto"/>
          <w:sz w:val="22"/>
          <w:szCs w:val="22"/>
          <w:highlight w:val="none"/>
        </w:rPr>
        <w:t>）法律、法规和招标文件规定的其他无效情形。</w:t>
      </w:r>
    </w:p>
    <w:p w14:paraId="1475C053">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9、有下列情形之一的，视为投标人串通投标，其投标无效</w:t>
      </w:r>
    </w:p>
    <w:p w14:paraId="7A2FC0B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（1）不同投标人的投标文件由同一单位或者个人编制；</w:t>
      </w:r>
    </w:p>
    <w:p w14:paraId="19489E1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（2）不同投标人委托同一单位或者个人办理投标事宜；</w:t>
      </w:r>
    </w:p>
    <w:p w14:paraId="68A32CA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（3）不同投标人的投标文件载明的项目管理成员或者联系人员为同一人；</w:t>
      </w:r>
    </w:p>
    <w:p w14:paraId="11FB76C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（4）不同投标人的投标文件异常一致或者投标报价呈规律性差异；</w:t>
      </w:r>
    </w:p>
    <w:p w14:paraId="0BB8AF9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（5）不同投标人的投标文件相互混装</w:t>
      </w:r>
      <w:r>
        <w:rPr>
          <w:rFonts w:hint="eastAsia" w:ascii="新宋体" w:hAnsi="新宋体" w:eastAsia="新宋体" w:cs="新宋体"/>
          <w:color w:val="auto"/>
          <w:sz w:val="22"/>
          <w:szCs w:val="22"/>
          <w:highlight w:val="none"/>
          <w:lang w:eastAsia="zh-CN"/>
        </w:rPr>
        <w:t>；</w:t>
      </w:r>
    </w:p>
    <w:p w14:paraId="22D177E7">
      <w:pPr>
        <w:tabs>
          <w:tab w:val="left" w:pos="360"/>
        </w:tabs>
        <w:spacing w:line="460" w:lineRule="exact"/>
        <w:ind w:firstLine="440"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6</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b w:val="0"/>
          <w:bCs w:val="0"/>
          <w:color w:val="auto"/>
          <w:sz w:val="22"/>
          <w:szCs w:val="22"/>
          <w:highlight w:val="none"/>
          <w:u w:val="none"/>
          <w:lang w:val="en-US" w:eastAsia="zh-CN"/>
        </w:rPr>
        <w:t>参与同一个采购包（标段）的供应商存在下列情形之一且无法合理解释的，其投标（响应）文件无效：</w:t>
      </w:r>
      <w:r>
        <w:rPr>
          <w:rFonts w:hint="eastAsia" w:ascii="微软雅黑" w:hAnsi="微软雅黑" w:eastAsia="微软雅黑" w:cs="微软雅黑"/>
          <w:b w:val="0"/>
          <w:bCs w:val="0"/>
          <w:color w:val="auto"/>
          <w:sz w:val="22"/>
          <w:szCs w:val="22"/>
          <w:highlight w:val="none"/>
          <w:u w:val="none"/>
          <w:lang w:val="en-US" w:eastAsia="zh-CN"/>
        </w:rPr>
        <w:t>①</w:t>
      </w:r>
      <w:r>
        <w:rPr>
          <w:rFonts w:hint="eastAsia" w:ascii="新宋体" w:hAnsi="新宋体" w:eastAsia="新宋体" w:cs="新宋体"/>
          <w:b w:val="0"/>
          <w:bCs w:val="0"/>
          <w:color w:val="auto"/>
          <w:sz w:val="22"/>
          <w:szCs w:val="22"/>
          <w:highlight w:val="none"/>
          <w:u w:val="none"/>
          <w:lang w:val="en-US" w:eastAsia="zh-CN"/>
        </w:rPr>
        <w:t>不同供应商的电子投标（响应）文件上传计算机的网卡MAC地址或硬盘序列号等硬件信息相同的；</w:t>
      </w:r>
      <w:r>
        <w:rPr>
          <w:rFonts w:hint="eastAsia" w:ascii="微软雅黑" w:hAnsi="微软雅黑" w:eastAsia="微软雅黑" w:cs="微软雅黑"/>
          <w:b w:val="0"/>
          <w:bCs w:val="0"/>
          <w:color w:val="auto"/>
          <w:sz w:val="22"/>
          <w:szCs w:val="22"/>
          <w:highlight w:val="none"/>
          <w:u w:val="none"/>
          <w:lang w:val="en-US" w:eastAsia="zh-CN"/>
        </w:rPr>
        <w:t>②</w:t>
      </w:r>
      <w:r>
        <w:rPr>
          <w:rFonts w:hint="eastAsia" w:ascii="新宋体" w:hAnsi="新宋体" w:eastAsia="新宋体" w:cs="新宋体"/>
          <w:b w:val="0"/>
          <w:bCs w:val="0"/>
          <w:color w:val="auto"/>
          <w:sz w:val="22"/>
          <w:szCs w:val="22"/>
          <w:highlight w:val="none"/>
          <w:u w:val="none"/>
          <w:lang w:val="en-US" w:eastAsia="zh-CN"/>
        </w:rPr>
        <w:t>上传的电子投标（响应）文件若出现使用本项目其他投标（响应）供应商的数字证书加密的，或者加盖本项目其他投标（响应）供应商的电子印章的；</w:t>
      </w:r>
      <w:r>
        <w:rPr>
          <w:rFonts w:hint="eastAsia" w:ascii="微软雅黑" w:hAnsi="微软雅黑" w:eastAsia="微软雅黑" w:cs="微软雅黑"/>
          <w:b w:val="0"/>
          <w:bCs w:val="0"/>
          <w:color w:val="auto"/>
          <w:sz w:val="22"/>
          <w:szCs w:val="22"/>
          <w:highlight w:val="none"/>
          <w:u w:val="none"/>
          <w:lang w:val="en-US" w:eastAsia="zh-CN"/>
        </w:rPr>
        <w:t>③</w:t>
      </w:r>
      <w:r>
        <w:rPr>
          <w:rFonts w:hint="eastAsia" w:ascii="新宋体" w:hAnsi="新宋体" w:eastAsia="新宋体" w:cs="新宋体"/>
          <w:b w:val="0"/>
          <w:bCs w:val="0"/>
          <w:color w:val="auto"/>
          <w:sz w:val="22"/>
          <w:szCs w:val="22"/>
          <w:highlight w:val="none"/>
          <w:u w:val="none"/>
          <w:lang w:val="en-US" w:eastAsia="zh-CN"/>
        </w:rPr>
        <w:t>不同供应商的投标（响应）文件的内容存在3处（含）以上错误一致的；</w:t>
      </w:r>
      <w:r>
        <w:rPr>
          <w:rFonts w:hint="eastAsia" w:ascii="微软雅黑" w:hAnsi="微软雅黑" w:eastAsia="微软雅黑" w:cs="微软雅黑"/>
          <w:b w:val="0"/>
          <w:bCs w:val="0"/>
          <w:color w:val="auto"/>
          <w:sz w:val="22"/>
          <w:szCs w:val="22"/>
          <w:highlight w:val="none"/>
          <w:u w:val="none"/>
          <w:lang w:val="en-US" w:eastAsia="zh-CN"/>
        </w:rPr>
        <w:t>④</w:t>
      </w:r>
      <w:r>
        <w:rPr>
          <w:rFonts w:hint="eastAsia" w:ascii="新宋体" w:hAnsi="新宋体" w:eastAsia="新宋体" w:cs="新宋体"/>
          <w:b w:val="0"/>
          <w:bCs w:val="0"/>
          <w:color w:val="auto"/>
          <w:sz w:val="22"/>
          <w:szCs w:val="22"/>
          <w:highlight w:val="none"/>
          <w:u w:val="none"/>
          <w:lang w:val="en-US" w:eastAsia="zh-CN"/>
        </w:rPr>
        <w:t>不同供应商联系人为同一人或不同联系人的联系电话一致的。</w:t>
      </w:r>
    </w:p>
    <w:p w14:paraId="1EB18D36">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10、投标文件报价出现前后不一致的，按照下列规定修正：</w:t>
      </w:r>
    </w:p>
    <w:p w14:paraId="465D999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（1）系统上传的投标文件中开标一览表（报价表）（加盖公章）内容与投标文件中相应内容不一致的，以系统上传的投标文件中开标一览表（报价表）（加盖公章）为准；</w:t>
      </w:r>
    </w:p>
    <w:p w14:paraId="0F7DDBE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（2）大写金额和小写金额不一致的，以大写金额为准；</w:t>
      </w:r>
    </w:p>
    <w:p w14:paraId="2A94DC6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（3）单价金额小数点或者百分比有明显错位的，以开标一览表的总价为准，并修改单价；</w:t>
      </w:r>
    </w:p>
    <w:p w14:paraId="7AA1F27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（4）总价金额与按单价汇总金额不一致的，以单价金额计算结果为准。</w:t>
      </w:r>
    </w:p>
    <w:p w14:paraId="7424200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同时出现两种以上不一致的，按照前款规定的顺序修正。修正后的报价按照本小节第12条第12.2款的规定经投标人确认后产生约束力，投标人不确认的，其投标无效。</w:t>
      </w:r>
    </w:p>
    <w:p w14:paraId="3088D20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11、标委员会成员对需要共同认定的事项存在争议的，应当按照少数服从多数的原则作出结论。持不同意见的评标委员会成员应当在评标报告上签署不同意见及理由，否则视为同意评标报告。</w:t>
      </w:r>
    </w:p>
    <w:p w14:paraId="3E43A4F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12、投标文件的澄清</w:t>
      </w:r>
    </w:p>
    <w:p w14:paraId="3FD95F2C">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12.1在评标期间，评标委员会可要求投标人对于投标文件中含义不明确、同类问题表述不一致或者有明显文字和计算错误的内容，评标委员会应当以书面形式（或通过“</w:t>
      </w:r>
      <w:r>
        <w:rPr>
          <w:rFonts w:hint="eastAsia" w:ascii="新宋体" w:hAnsi="新宋体" w:eastAsia="新宋体" w:cs="新宋体"/>
          <w:bCs/>
          <w:color w:val="auto"/>
          <w:sz w:val="22"/>
          <w:szCs w:val="22"/>
          <w:highlight w:val="none"/>
          <w:lang w:eastAsia="zh-CN"/>
        </w:rPr>
        <w:t>政采云平台</w:t>
      </w:r>
      <w:r>
        <w:rPr>
          <w:rFonts w:hint="eastAsia" w:ascii="新宋体" w:hAnsi="新宋体" w:eastAsia="新宋体" w:cs="新宋体"/>
          <w:bCs/>
          <w:color w:val="auto"/>
          <w:sz w:val="22"/>
          <w:szCs w:val="22"/>
          <w:highlight w:val="none"/>
        </w:rPr>
        <w:t>”在线询标）要求投标人在规定的时间内作出必要的澄清、说明或者补正。投标人澄清、说明或补正时间按系统规定时间。</w:t>
      </w:r>
    </w:p>
    <w:p w14:paraId="6CC8BBC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12.2投标人的澄清、说明或者补正应当采用书面形式（或通过“</w:t>
      </w:r>
      <w:r>
        <w:rPr>
          <w:rFonts w:hint="eastAsia" w:ascii="新宋体" w:hAnsi="新宋体" w:eastAsia="新宋体" w:cs="新宋体"/>
          <w:bCs/>
          <w:color w:val="auto"/>
          <w:sz w:val="22"/>
          <w:szCs w:val="22"/>
          <w:highlight w:val="none"/>
          <w:lang w:eastAsia="zh-CN"/>
        </w:rPr>
        <w:t>政采云平台</w:t>
      </w:r>
      <w:r>
        <w:rPr>
          <w:rFonts w:hint="eastAsia" w:ascii="新宋体" w:hAnsi="新宋体" w:eastAsia="新宋体" w:cs="新宋体"/>
          <w:bCs/>
          <w:color w:val="auto"/>
          <w:sz w:val="22"/>
          <w:szCs w:val="22"/>
          <w:highlight w:val="none"/>
        </w:rPr>
        <w:t>”在线答复），并加盖公章，或者由法定代表人或其授权的代表签字。投标人的澄清、说明或者补正不得超出投标文件的范围或者改变投标文件的实质性内容。</w:t>
      </w:r>
    </w:p>
    <w:p w14:paraId="43FD552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拒不按要求对其投标文件进行澄清，说明或补正的投标人，评标委员会可以否决其投标。</w:t>
      </w:r>
    </w:p>
    <w:p w14:paraId="489F2E7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12.2</w:t>
      </w:r>
      <w:r>
        <w:rPr>
          <w:rFonts w:hint="eastAsia" w:ascii="新宋体" w:hAnsi="新宋体" w:eastAsia="新宋体" w:cs="新宋体"/>
          <w:b/>
          <w:color w:val="auto"/>
          <w:sz w:val="22"/>
          <w:szCs w:val="22"/>
          <w:highlight w:val="none"/>
        </w:rPr>
        <w:t>经澄清后，若偏差仍存在，且不可接受，投标人则被认为是“没有实质性响应招标文件要求”，其投标将被拒绝。</w:t>
      </w:r>
    </w:p>
    <w:p w14:paraId="22D3185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13、评审结果的修改</w:t>
      </w:r>
    </w:p>
    <w:p w14:paraId="3966D293">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13.1评标结果汇总完成后，除下列情形外，任何人不得修改评标结果：</w:t>
      </w:r>
    </w:p>
    <w:p w14:paraId="5778123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（1）分值汇总计算错误的；</w:t>
      </w:r>
    </w:p>
    <w:p w14:paraId="5955EB4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（2）分项评分超出评分标准范围的；</w:t>
      </w:r>
    </w:p>
    <w:p w14:paraId="79BBF25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（3）评标委员会成员对客观评审因素评分不一致的；</w:t>
      </w:r>
    </w:p>
    <w:p w14:paraId="019D12B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（4）经评标委员会认定评分畸高、畸低的。</w:t>
      </w:r>
    </w:p>
    <w:p w14:paraId="25E77E6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13.2书面评标报告签署前，经复核发现存在以上情形之一的，评标委员会将当场修改评标结果，并在</w:t>
      </w:r>
      <w:r>
        <w:rPr>
          <w:rFonts w:hint="eastAsia" w:ascii="新宋体" w:hAnsi="新宋体" w:eastAsia="新宋体" w:cs="新宋体"/>
          <w:b/>
          <w:color w:val="auto"/>
          <w:sz w:val="22"/>
          <w:szCs w:val="22"/>
          <w:highlight w:val="none"/>
        </w:rPr>
        <w:t>评标报告中记载。</w:t>
      </w:r>
    </w:p>
    <w:p w14:paraId="04651BD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14</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确定中标候选人</w:t>
      </w:r>
    </w:p>
    <w:p w14:paraId="336C84A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14.1由评标委员会确定中标候选人。</w:t>
      </w:r>
    </w:p>
    <w:p w14:paraId="5E07718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14.2评标委员会依据法律、法规及招标文件有关规定按评审后得分（即商务技术分与报价得分之和）由高到低顺序排序，得分前二名的投标人确定为该项目的第一和第二中标候选人（得分相同的，按投标报价由低到高顺序排列。得分且投标报价相同的并列。）向招标人推荐。</w:t>
      </w:r>
    </w:p>
    <w:p w14:paraId="33C9646E">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15、确定中标人</w:t>
      </w:r>
    </w:p>
    <w:p w14:paraId="3863A78C">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en-US" w:eastAsia="zh-CN"/>
        </w:rPr>
        <w:t>15</w:t>
      </w:r>
      <w:r>
        <w:rPr>
          <w:rFonts w:hint="eastAsia" w:ascii="新宋体" w:hAnsi="新宋体" w:eastAsia="新宋体" w:cs="新宋体"/>
          <w:b/>
          <w:bCs/>
          <w:color w:val="auto"/>
          <w:sz w:val="22"/>
          <w:szCs w:val="22"/>
          <w:highlight w:val="none"/>
        </w:rPr>
        <w:t>.1招标人按照评标报告中推荐的中标候选供应商顺序确定中标人；也可以事先授权评标委员会按照推荐的中标候选供应商顺序直接确定中标人。中标候选人并列的，由评标委员会全体成员记名投票按少数服从多数的原则确定排名。</w:t>
      </w:r>
    </w:p>
    <w:p w14:paraId="4C73196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15</w:t>
      </w:r>
      <w:r>
        <w:rPr>
          <w:rFonts w:hint="eastAsia" w:ascii="新宋体" w:hAnsi="新宋体" w:eastAsia="新宋体" w:cs="新宋体"/>
          <w:color w:val="auto"/>
          <w:sz w:val="22"/>
          <w:szCs w:val="22"/>
          <w:highlight w:val="none"/>
        </w:rPr>
        <w:t>.2如中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中标人或重新组织招标。</w:t>
      </w:r>
    </w:p>
    <w:p w14:paraId="5DD610F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16、起草、签署评审报告</w:t>
      </w:r>
    </w:p>
    <w:p w14:paraId="4B477CF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评审结束后，评标委员会将通过“</w:t>
      </w:r>
      <w:r>
        <w:rPr>
          <w:rFonts w:hint="eastAsia" w:ascii="新宋体" w:hAnsi="新宋体" w:eastAsia="新宋体" w:cs="新宋体"/>
          <w:color w:val="auto"/>
          <w:sz w:val="22"/>
          <w:szCs w:val="22"/>
          <w:highlight w:val="none"/>
          <w:lang w:eastAsia="zh-CN"/>
        </w:rPr>
        <w:t>政采云平台</w:t>
      </w:r>
      <w:r>
        <w:rPr>
          <w:rFonts w:hint="eastAsia" w:ascii="新宋体" w:hAnsi="新宋体" w:eastAsia="新宋体" w:cs="新宋体"/>
          <w:color w:val="auto"/>
          <w:sz w:val="22"/>
          <w:szCs w:val="22"/>
          <w:highlight w:val="none"/>
        </w:rPr>
        <w:t>”起草评审报告，评标委员会成员应当在评审报告上签字，对自己的评审意见承担法律责任。对评审报告有异议的，应当在评审报告上签署不同意见，并说明理由，否则视为同意评审报告。</w:t>
      </w:r>
    </w:p>
    <w:p w14:paraId="6514501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17</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成交投标人确定后，招标人将在政府指定媒体公告中标结果，招标人向成交投标人发出中标通知书。</w:t>
      </w:r>
    </w:p>
    <w:p w14:paraId="56F3BF32">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18、招</w:t>
      </w:r>
      <w:r>
        <w:rPr>
          <w:rFonts w:hint="eastAsia" w:ascii="新宋体" w:hAnsi="新宋体" w:eastAsia="新宋体" w:cs="新宋体"/>
          <w:b/>
          <w:color w:val="auto"/>
          <w:sz w:val="22"/>
          <w:szCs w:val="22"/>
          <w:highlight w:val="none"/>
        </w:rPr>
        <w:t>标人对决标结果不做任何解释，也不保证最低价中标。</w:t>
      </w:r>
    </w:p>
    <w:p w14:paraId="0C8D3EB0">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19、评标细则详见“评标原则及方法”。</w:t>
      </w:r>
    </w:p>
    <w:p w14:paraId="5B937401">
      <w:pPr>
        <w:spacing w:before="100" w:beforeAutospacing="1" w:after="100" w:afterAutospacing="1" w:line="440" w:lineRule="exact"/>
        <w:jc w:val="center"/>
        <w:outlineLvl w:val="2"/>
        <w:rPr>
          <w:rFonts w:hint="eastAsia" w:ascii="新宋体" w:hAnsi="新宋体" w:eastAsia="新宋体" w:cs="新宋体"/>
          <w:b/>
          <w:bCs/>
          <w:color w:val="auto"/>
          <w:sz w:val="26"/>
          <w:szCs w:val="26"/>
          <w:highlight w:val="none"/>
        </w:rPr>
      </w:pPr>
      <w:bookmarkStart w:id="21" w:name="_Toc28976"/>
      <w:r>
        <w:rPr>
          <w:rFonts w:hint="eastAsia" w:ascii="新宋体" w:hAnsi="新宋体" w:eastAsia="新宋体" w:cs="新宋体"/>
          <w:b/>
          <w:bCs/>
          <w:color w:val="auto"/>
          <w:sz w:val="26"/>
          <w:szCs w:val="26"/>
          <w:highlight w:val="none"/>
        </w:rPr>
        <w:t>六、 授予合同</w:t>
      </w:r>
      <w:bookmarkEnd w:id="21"/>
    </w:p>
    <w:p w14:paraId="28C769D9">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1、中标通知书</w:t>
      </w:r>
    </w:p>
    <w:p w14:paraId="2BDAC11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 xml:space="preserve">1.1成交投标人确定后，招标人将向成交投标人发出中标通知书。 </w:t>
      </w:r>
    </w:p>
    <w:p w14:paraId="3986322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1.2中标通知书是合同的一个组成部分，对招标人和成交投标人均具有同等法律效力。</w:t>
      </w:r>
    </w:p>
    <w:p w14:paraId="5218773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val="0"/>
          <w:bCs w:val="0"/>
          <w:color w:val="auto"/>
          <w:sz w:val="22"/>
          <w:highlight w:val="none"/>
        </w:rPr>
        <w:t>2、授标时更改</w:t>
      </w:r>
      <w:r>
        <w:rPr>
          <w:rFonts w:hint="eastAsia" w:ascii="新宋体" w:hAnsi="新宋体" w:eastAsia="新宋体" w:cs="新宋体"/>
          <w:color w:val="auto"/>
          <w:sz w:val="22"/>
          <w:highlight w:val="none"/>
        </w:rPr>
        <w:t>采购货物数量的权力</w:t>
      </w:r>
    </w:p>
    <w:p w14:paraId="5B838C0C">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2.1招标人在授予合同时有权对采购货物的数量和服务在一定幅度范围内予以增加或减少</w:t>
      </w: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Cs/>
          <w:color w:val="auto"/>
          <w:sz w:val="22"/>
          <w:szCs w:val="22"/>
          <w:highlight w:val="none"/>
        </w:rPr>
        <w:t>但不得对单价和其他的条款和条件作任何改变。</w:t>
      </w:r>
    </w:p>
    <w:p w14:paraId="32AB01A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3、签订合同</w:t>
      </w:r>
    </w:p>
    <w:p w14:paraId="2A83E06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3.1成交投标人应按中标通知书规定的时间、地点与招标人签订合同。</w:t>
      </w:r>
    </w:p>
    <w:p w14:paraId="61A0171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3.2</w:t>
      </w:r>
      <w:r>
        <w:rPr>
          <w:rFonts w:hint="eastAsia" w:ascii="新宋体" w:hAnsi="新宋体" w:eastAsia="新宋体" w:cs="新宋体"/>
          <w:b/>
          <w:color w:val="auto"/>
          <w:spacing w:val="6"/>
          <w:sz w:val="22"/>
          <w:szCs w:val="22"/>
          <w:highlight w:val="none"/>
        </w:rPr>
        <w:t>在签订合同前，招标人有权在中标总价不变的前提下要求成交投标人对报价中的不平衡报价和缺漏项进行调整，如果成交投标人无合理理由拒绝调整，其中投标资格将被取消，保证金将不予退还，且将导致其它进一步的赔偿和处罚。</w:t>
      </w:r>
    </w:p>
    <w:p w14:paraId="6937B7C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3.3招标文件、成交投标人的投标文件、投标修改文件、评标过程中有关澄清文件及经投标人和评委双方签字的询标纪要和中标通知书均作为合同附件。</w:t>
      </w:r>
    </w:p>
    <w:p w14:paraId="36A7FBA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3.4拒签合同的违约责任</w:t>
      </w:r>
    </w:p>
    <w:p w14:paraId="145E660E">
      <w:pPr>
        <w:keepNext w:val="0"/>
        <w:keepLines w:val="0"/>
        <w:pageBreakBefore w:val="0"/>
        <w:widowControl w:val="0"/>
        <w:kinsoku/>
        <w:wordWrap/>
        <w:overflowPunct/>
        <w:topLinePunct w:val="0"/>
        <w:autoSpaceDE/>
        <w:autoSpaceDN/>
        <w:bidi w:val="0"/>
        <w:adjustRightInd/>
        <w:snapToGrid/>
        <w:spacing w:line="460" w:lineRule="exact"/>
        <w:ind w:firstLine="466" w:firstLineChars="200"/>
        <w:textAlignment w:val="auto"/>
        <w:rPr>
          <w:rFonts w:hint="eastAsia" w:ascii="新宋体" w:hAnsi="新宋体" w:eastAsia="新宋体" w:cs="新宋体"/>
          <w:b/>
          <w:color w:val="auto"/>
          <w:spacing w:val="6"/>
          <w:sz w:val="22"/>
          <w:szCs w:val="22"/>
          <w:highlight w:val="none"/>
        </w:rPr>
      </w:pPr>
      <w:r>
        <w:rPr>
          <w:rFonts w:hint="eastAsia" w:ascii="新宋体" w:hAnsi="新宋体" w:eastAsia="新宋体" w:cs="新宋体"/>
          <w:b/>
          <w:color w:val="auto"/>
          <w:spacing w:val="6"/>
          <w:sz w:val="22"/>
          <w:szCs w:val="22"/>
          <w:highlight w:val="none"/>
        </w:rPr>
        <w:t>成交投标人接到中标通知书后，在规定时间内借故否认已经承诺的条件而拒签合同的，以违约处理。</w:t>
      </w:r>
    </w:p>
    <w:p w14:paraId="1597A026">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4、质疑与投诉</w:t>
      </w:r>
    </w:p>
    <w:p w14:paraId="2D46677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4.1投标人认为招标文件、采购过程、中标和成交结果使自己的合法权益受到损害的，可以在知道或应知道其权益受到损害之日起七个工作日内以书面形式向招标人或招标代理机构提出质疑。</w:t>
      </w:r>
    </w:p>
    <w:p w14:paraId="11F4563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4.2招标人或招标代理机构在收到投标人的书面质疑后七个工作日内作出答复，但答复的内容不得涉及商业秘密。质疑投标人对招标人或招标代理机构的答复不满意，可以在答复期满后十五个工作日内向同级采购监督管理部门投诉。</w:t>
      </w:r>
    </w:p>
    <w:p w14:paraId="0ABFFA3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4.3投诉人投诉时，应提交投诉书，投诉书应当由本人并由法定代表人签字盖公章，投诉书应说明具体的投诉事项及事实依据。投诉人对投诉书的真实性负责，恶意投诉将承当相应的法律和民事责任。</w:t>
      </w:r>
    </w:p>
    <w:p w14:paraId="6D90C8EE">
      <w:pPr>
        <w:pStyle w:val="23"/>
        <w:keepNext w:val="0"/>
        <w:keepLines w:val="0"/>
        <w:pageBreakBefore w:val="0"/>
        <w:widowControl w:val="0"/>
        <w:kinsoku/>
        <w:wordWrap/>
        <w:overflowPunct/>
        <w:topLinePunct w:val="0"/>
        <w:autoSpaceDE/>
        <w:autoSpaceDN/>
        <w:bidi w:val="0"/>
        <w:adjustRightInd/>
        <w:snapToGrid/>
        <w:spacing w:after="0" w:line="460" w:lineRule="atLeast"/>
        <w:ind w:left="0" w:leftChars="0"/>
        <w:jc w:val="center"/>
        <w:textAlignment w:val="auto"/>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22" w:name="_Toc25260"/>
      <w:r>
        <w:rPr>
          <w:rFonts w:hint="eastAsia" w:ascii="新宋体" w:hAnsi="新宋体" w:eastAsia="新宋体" w:cs="新宋体"/>
          <w:b/>
          <w:color w:val="auto"/>
          <w:sz w:val="30"/>
          <w:highlight w:val="none"/>
        </w:rPr>
        <w:t>第二部分    合同主要条款</w:t>
      </w:r>
      <w:bookmarkEnd w:id="22"/>
    </w:p>
    <w:p w14:paraId="3E6FF378">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
          <w:color w:val="auto"/>
          <w:sz w:val="22"/>
          <w:szCs w:val="22"/>
          <w:highlight w:val="none"/>
        </w:rPr>
        <w:t>本条款为甲乙双方必须遵守的基本条款，甲乙双方也可根据实际情况另签合同条款，正式合同以双方签字盖章的文本为准。</w:t>
      </w:r>
    </w:p>
    <w:p w14:paraId="765C186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p w14:paraId="5C70B52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snapToGrid w:val="0"/>
          <w:color w:val="auto"/>
          <w:kern w:val="0"/>
          <w:sz w:val="22"/>
          <w:szCs w:val="22"/>
          <w:highlight w:val="none"/>
        </w:rPr>
      </w:pPr>
      <w:r>
        <w:rPr>
          <w:rFonts w:hint="eastAsia" w:ascii="新宋体" w:hAnsi="新宋体" w:eastAsia="新宋体" w:cs="新宋体"/>
          <w:b/>
          <w:bCs/>
          <w:snapToGrid w:val="0"/>
          <w:color w:val="auto"/>
          <w:kern w:val="0"/>
          <w:sz w:val="22"/>
          <w:szCs w:val="22"/>
          <w:highlight w:val="none"/>
        </w:rPr>
        <w:t>合同编号：</w:t>
      </w:r>
    </w:p>
    <w:p w14:paraId="4CD5FDA7">
      <w:pPr>
        <w:spacing w:line="360" w:lineRule="auto"/>
        <w:jc w:val="center"/>
        <w:rPr>
          <w:rFonts w:hint="eastAsia" w:ascii="新宋体" w:hAnsi="新宋体" w:eastAsia="新宋体" w:cs="新宋体"/>
          <w:snapToGrid w:val="0"/>
          <w:color w:val="auto"/>
          <w:kern w:val="0"/>
          <w:highlight w:val="none"/>
        </w:rPr>
      </w:pPr>
    </w:p>
    <w:p w14:paraId="17174AD2">
      <w:pPr>
        <w:spacing w:line="360" w:lineRule="auto"/>
        <w:jc w:val="center"/>
        <w:rPr>
          <w:rFonts w:hint="eastAsia" w:ascii="新宋体" w:hAnsi="新宋体" w:eastAsia="新宋体" w:cs="新宋体"/>
          <w:snapToGrid w:val="0"/>
          <w:color w:val="auto"/>
          <w:kern w:val="0"/>
          <w:highlight w:val="none"/>
        </w:rPr>
      </w:pPr>
    </w:p>
    <w:p w14:paraId="50581237">
      <w:pPr>
        <w:spacing w:line="360" w:lineRule="auto"/>
        <w:jc w:val="center"/>
        <w:rPr>
          <w:rFonts w:hint="eastAsia" w:ascii="新宋体" w:hAnsi="新宋体" w:eastAsia="新宋体" w:cs="新宋体"/>
          <w:snapToGrid w:val="0"/>
          <w:color w:val="auto"/>
          <w:kern w:val="0"/>
          <w:highlight w:val="none"/>
        </w:rPr>
      </w:pPr>
    </w:p>
    <w:p w14:paraId="379CBE2D">
      <w:pPr>
        <w:spacing w:line="360" w:lineRule="auto"/>
        <w:jc w:val="center"/>
        <w:rPr>
          <w:rFonts w:hint="eastAsia" w:ascii="新宋体" w:hAnsi="新宋体" w:eastAsia="新宋体" w:cs="新宋体"/>
          <w:b/>
          <w:snapToGrid w:val="0"/>
          <w:color w:val="auto"/>
          <w:kern w:val="0"/>
          <w:sz w:val="52"/>
          <w:szCs w:val="52"/>
          <w:highlight w:val="none"/>
        </w:rPr>
      </w:pPr>
      <w:r>
        <w:rPr>
          <w:rFonts w:hint="eastAsia" w:ascii="新宋体" w:hAnsi="新宋体" w:eastAsia="新宋体" w:cs="新宋体"/>
          <w:b/>
          <w:snapToGrid w:val="0"/>
          <w:color w:val="auto"/>
          <w:kern w:val="0"/>
          <w:sz w:val="52"/>
          <w:szCs w:val="52"/>
          <w:highlight w:val="none"/>
        </w:rPr>
        <w:t>温州市第七人民医院布草洗涤</w:t>
      </w:r>
    </w:p>
    <w:p w14:paraId="69FA30C0">
      <w:pPr>
        <w:spacing w:line="360" w:lineRule="auto"/>
        <w:jc w:val="center"/>
        <w:rPr>
          <w:rFonts w:hint="eastAsia" w:ascii="新宋体" w:hAnsi="新宋体" w:eastAsia="新宋体" w:cs="新宋体"/>
          <w:b/>
          <w:snapToGrid w:val="0"/>
          <w:color w:val="auto"/>
          <w:kern w:val="0"/>
          <w:sz w:val="52"/>
          <w:szCs w:val="52"/>
          <w:highlight w:val="none"/>
        </w:rPr>
      </w:pPr>
      <w:r>
        <w:rPr>
          <w:rFonts w:hint="eastAsia" w:ascii="新宋体" w:hAnsi="新宋体" w:eastAsia="新宋体" w:cs="新宋体"/>
          <w:b/>
          <w:snapToGrid w:val="0"/>
          <w:color w:val="auto"/>
          <w:kern w:val="0"/>
          <w:sz w:val="52"/>
          <w:szCs w:val="52"/>
          <w:highlight w:val="none"/>
        </w:rPr>
        <w:t>服务合同</w:t>
      </w:r>
    </w:p>
    <w:p w14:paraId="179FB7FE">
      <w:pPr>
        <w:spacing w:line="360" w:lineRule="auto"/>
        <w:jc w:val="left"/>
        <w:rPr>
          <w:rFonts w:hint="eastAsia" w:ascii="新宋体" w:hAnsi="新宋体" w:eastAsia="新宋体" w:cs="新宋体"/>
          <w:snapToGrid w:val="0"/>
          <w:color w:val="auto"/>
          <w:kern w:val="0"/>
          <w:highlight w:val="none"/>
        </w:rPr>
      </w:pPr>
    </w:p>
    <w:p w14:paraId="1B9831E9">
      <w:pPr>
        <w:spacing w:line="360" w:lineRule="auto"/>
        <w:jc w:val="left"/>
        <w:rPr>
          <w:rFonts w:hint="eastAsia" w:ascii="新宋体" w:hAnsi="新宋体" w:eastAsia="新宋体" w:cs="新宋体"/>
          <w:snapToGrid w:val="0"/>
          <w:color w:val="auto"/>
          <w:kern w:val="0"/>
          <w:highlight w:val="none"/>
        </w:rPr>
      </w:pPr>
    </w:p>
    <w:p w14:paraId="767A9660">
      <w:pPr>
        <w:spacing w:line="360" w:lineRule="auto"/>
        <w:jc w:val="left"/>
        <w:rPr>
          <w:rFonts w:hint="eastAsia" w:ascii="新宋体" w:hAnsi="新宋体" w:eastAsia="新宋体" w:cs="新宋体"/>
          <w:snapToGrid w:val="0"/>
          <w:color w:val="auto"/>
          <w:kern w:val="0"/>
          <w:highlight w:val="none"/>
        </w:rPr>
      </w:pPr>
    </w:p>
    <w:p w14:paraId="2002BC22">
      <w:pPr>
        <w:spacing w:line="360" w:lineRule="auto"/>
        <w:jc w:val="left"/>
        <w:rPr>
          <w:rFonts w:hint="eastAsia" w:ascii="新宋体" w:hAnsi="新宋体" w:eastAsia="新宋体" w:cs="新宋体"/>
          <w:snapToGrid w:val="0"/>
          <w:color w:val="auto"/>
          <w:kern w:val="0"/>
          <w:highlight w:val="none"/>
        </w:rPr>
      </w:pPr>
    </w:p>
    <w:p w14:paraId="3DD97C24">
      <w:pPr>
        <w:spacing w:line="360" w:lineRule="auto"/>
        <w:jc w:val="left"/>
        <w:rPr>
          <w:rFonts w:hint="eastAsia" w:ascii="新宋体" w:hAnsi="新宋体" w:eastAsia="新宋体" w:cs="新宋体"/>
          <w:snapToGrid w:val="0"/>
          <w:color w:val="auto"/>
          <w:kern w:val="0"/>
          <w:highlight w:val="none"/>
        </w:rPr>
      </w:pPr>
    </w:p>
    <w:p w14:paraId="2053E284">
      <w:pPr>
        <w:spacing w:line="360" w:lineRule="auto"/>
        <w:jc w:val="left"/>
        <w:rPr>
          <w:rFonts w:hint="eastAsia" w:ascii="新宋体" w:hAnsi="新宋体" w:eastAsia="新宋体" w:cs="新宋体"/>
          <w:snapToGrid w:val="0"/>
          <w:color w:val="auto"/>
          <w:kern w:val="0"/>
          <w:highlight w:val="none"/>
        </w:rPr>
      </w:pPr>
    </w:p>
    <w:p w14:paraId="2F508C89">
      <w:pPr>
        <w:spacing w:line="360" w:lineRule="auto"/>
        <w:ind w:firstLine="736" w:firstLineChars="229"/>
        <w:rPr>
          <w:rFonts w:hint="eastAsia" w:ascii="新宋体" w:hAnsi="新宋体" w:eastAsia="新宋体" w:cs="新宋体"/>
          <w:b/>
          <w:bCs/>
          <w:snapToGrid w:val="0"/>
          <w:color w:val="auto"/>
          <w:kern w:val="0"/>
          <w:sz w:val="32"/>
          <w:szCs w:val="32"/>
          <w:highlight w:val="none"/>
        </w:rPr>
      </w:pPr>
      <w:r>
        <w:rPr>
          <w:rFonts w:hint="eastAsia" w:ascii="新宋体" w:hAnsi="新宋体" w:eastAsia="新宋体" w:cs="新宋体"/>
          <w:b/>
          <w:bCs/>
          <w:snapToGrid w:val="0"/>
          <w:color w:val="auto"/>
          <w:kern w:val="0"/>
          <w:sz w:val="32"/>
          <w:szCs w:val="32"/>
          <w:highlight w:val="none"/>
        </w:rPr>
        <w:t>项目名称：</w:t>
      </w:r>
      <w:r>
        <w:rPr>
          <w:rFonts w:hint="eastAsia" w:ascii="新宋体" w:hAnsi="新宋体" w:eastAsia="新宋体" w:cs="新宋体"/>
          <w:snapToGrid w:val="0"/>
          <w:color w:val="auto"/>
          <w:kern w:val="0"/>
          <w:sz w:val="32"/>
          <w:szCs w:val="32"/>
          <w:highlight w:val="none"/>
          <w:u w:val="single"/>
        </w:rPr>
        <w:t xml:space="preserve">                                     </w:t>
      </w:r>
    </w:p>
    <w:p w14:paraId="08F43DC0">
      <w:pPr>
        <w:spacing w:line="360" w:lineRule="auto"/>
        <w:ind w:firstLine="736" w:firstLineChars="229"/>
        <w:rPr>
          <w:rFonts w:hint="eastAsia" w:ascii="新宋体" w:hAnsi="新宋体" w:eastAsia="新宋体" w:cs="新宋体"/>
          <w:snapToGrid w:val="0"/>
          <w:color w:val="auto"/>
          <w:kern w:val="0"/>
          <w:sz w:val="36"/>
          <w:highlight w:val="none"/>
          <w:u w:val="single"/>
        </w:rPr>
      </w:pPr>
      <w:r>
        <w:rPr>
          <w:rFonts w:hint="eastAsia" w:ascii="新宋体" w:hAnsi="新宋体" w:eastAsia="新宋体" w:cs="新宋体"/>
          <w:b/>
          <w:bCs/>
          <w:snapToGrid w:val="0"/>
          <w:color w:val="auto"/>
          <w:kern w:val="0"/>
          <w:sz w:val="32"/>
          <w:szCs w:val="32"/>
          <w:highlight w:val="none"/>
        </w:rPr>
        <w:t>委托方（甲方）：</w:t>
      </w:r>
      <w:r>
        <w:rPr>
          <w:rFonts w:hint="eastAsia" w:ascii="新宋体" w:hAnsi="新宋体" w:eastAsia="新宋体" w:cs="新宋体"/>
          <w:snapToGrid w:val="0"/>
          <w:color w:val="auto"/>
          <w:kern w:val="0"/>
          <w:sz w:val="30"/>
          <w:szCs w:val="30"/>
          <w:highlight w:val="none"/>
          <w:u w:val="single"/>
        </w:rPr>
        <w:t xml:space="preserve">                                 </w:t>
      </w:r>
    </w:p>
    <w:p w14:paraId="3E56C253">
      <w:pPr>
        <w:spacing w:line="360" w:lineRule="auto"/>
        <w:ind w:firstLine="736" w:firstLineChars="229"/>
        <w:rPr>
          <w:rFonts w:hint="eastAsia" w:ascii="新宋体" w:hAnsi="新宋体" w:eastAsia="新宋体" w:cs="新宋体"/>
          <w:snapToGrid w:val="0"/>
          <w:color w:val="auto"/>
          <w:kern w:val="0"/>
          <w:sz w:val="36"/>
          <w:highlight w:val="none"/>
          <w:u w:val="single"/>
        </w:rPr>
      </w:pPr>
      <w:r>
        <w:rPr>
          <w:rFonts w:hint="eastAsia" w:ascii="新宋体" w:hAnsi="新宋体" w:eastAsia="新宋体" w:cs="新宋体"/>
          <w:b/>
          <w:bCs/>
          <w:snapToGrid w:val="0"/>
          <w:color w:val="auto"/>
          <w:kern w:val="0"/>
          <w:sz w:val="32"/>
          <w:szCs w:val="32"/>
          <w:highlight w:val="none"/>
        </w:rPr>
        <w:t>受托方（乙方）：</w:t>
      </w:r>
      <w:r>
        <w:rPr>
          <w:rFonts w:hint="eastAsia" w:ascii="新宋体" w:hAnsi="新宋体" w:eastAsia="新宋体" w:cs="新宋体"/>
          <w:snapToGrid w:val="0"/>
          <w:color w:val="auto"/>
          <w:kern w:val="0"/>
          <w:sz w:val="30"/>
          <w:szCs w:val="30"/>
          <w:highlight w:val="none"/>
          <w:u w:val="single"/>
        </w:rPr>
        <w:t xml:space="preserve">                                 </w:t>
      </w:r>
    </w:p>
    <w:p w14:paraId="6D83B754">
      <w:pPr>
        <w:spacing w:line="360" w:lineRule="auto"/>
        <w:ind w:firstLine="736" w:firstLineChars="229"/>
        <w:rPr>
          <w:rFonts w:hint="eastAsia" w:ascii="新宋体" w:hAnsi="新宋体" w:eastAsia="新宋体" w:cs="新宋体"/>
          <w:snapToGrid w:val="0"/>
          <w:color w:val="auto"/>
          <w:kern w:val="0"/>
          <w:sz w:val="36"/>
          <w:highlight w:val="none"/>
          <w:u w:val="single"/>
        </w:rPr>
      </w:pPr>
      <w:r>
        <w:rPr>
          <w:rFonts w:hint="eastAsia" w:ascii="新宋体" w:hAnsi="新宋体" w:eastAsia="新宋体" w:cs="新宋体"/>
          <w:b/>
          <w:bCs/>
          <w:snapToGrid w:val="0"/>
          <w:color w:val="auto"/>
          <w:kern w:val="0"/>
          <w:sz w:val="32"/>
          <w:szCs w:val="32"/>
          <w:highlight w:val="none"/>
        </w:rPr>
        <w:t>签订时间：</w:t>
      </w:r>
      <w:r>
        <w:rPr>
          <w:rFonts w:hint="eastAsia" w:ascii="新宋体" w:hAnsi="新宋体" w:eastAsia="新宋体" w:cs="新宋体"/>
          <w:snapToGrid w:val="0"/>
          <w:color w:val="auto"/>
          <w:kern w:val="0"/>
          <w:sz w:val="30"/>
          <w:szCs w:val="30"/>
          <w:highlight w:val="none"/>
          <w:u w:val="single"/>
        </w:rPr>
        <w:t xml:space="preserve">                   年       月        日</w:t>
      </w:r>
    </w:p>
    <w:p w14:paraId="559C2A4B">
      <w:pPr>
        <w:spacing w:line="360" w:lineRule="auto"/>
        <w:ind w:firstLine="736" w:firstLineChars="229"/>
        <w:rPr>
          <w:rFonts w:hint="eastAsia" w:ascii="新宋体" w:hAnsi="新宋体" w:eastAsia="新宋体" w:cs="新宋体"/>
          <w:snapToGrid w:val="0"/>
          <w:color w:val="auto"/>
          <w:kern w:val="0"/>
          <w:sz w:val="36"/>
          <w:highlight w:val="none"/>
          <w:u w:val="single"/>
        </w:rPr>
      </w:pPr>
      <w:r>
        <w:rPr>
          <w:rFonts w:hint="eastAsia" w:ascii="新宋体" w:hAnsi="新宋体" w:eastAsia="新宋体" w:cs="新宋体"/>
          <w:b/>
          <w:bCs/>
          <w:snapToGrid w:val="0"/>
          <w:color w:val="auto"/>
          <w:kern w:val="0"/>
          <w:sz w:val="32"/>
          <w:szCs w:val="32"/>
          <w:highlight w:val="none"/>
        </w:rPr>
        <w:t>签订地点：</w:t>
      </w:r>
      <w:r>
        <w:rPr>
          <w:rFonts w:hint="eastAsia" w:ascii="新宋体" w:hAnsi="新宋体" w:eastAsia="新宋体" w:cs="新宋体"/>
          <w:snapToGrid w:val="0"/>
          <w:color w:val="auto"/>
          <w:kern w:val="0"/>
          <w:sz w:val="30"/>
          <w:szCs w:val="30"/>
          <w:highlight w:val="none"/>
          <w:u w:val="single"/>
        </w:rPr>
        <w:t xml:space="preserve">                                        </w:t>
      </w:r>
    </w:p>
    <w:p w14:paraId="7733ECDB">
      <w:pPr>
        <w:spacing w:line="360" w:lineRule="auto"/>
        <w:ind w:firstLine="736" w:firstLineChars="229"/>
        <w:rPr>
          <w:rFonts w:hint="eastAsia" w:ascii="新宋体" w:hAnsi="新宋体" w:eastAsia="新宋体" w:cs="新宋体"/>
          <w:snapToGrid w:val="0"/>
          <w:color w:val="auto"/>
          <w:kern w:val="0"/>
          <w:sz w:val="30"/>
          <w:szCs w:val="30"/>
          <w:highlight w:val="none"/>
        </w:rPr>
      </w:pPr>
      <w:r>
        <w:rPr>
          <w:rFonts w:hint="eastAsia" w:ascii="新宋体" w:hAnsi="新宋体" w:eastAsia="新宋体" w:cs="新宋体"/>
          <w:b/>
          <w:bCs/>
          <w:snapToGrid w:val="0"/>
          <w:color w:val="auto"/>
          <w:kern w:val="0"/>
          <w:sz w:val="32"/>
          <w:szCs w:val="32"/>
          <w:highlight w:val="none"/>
        </w:rPr>
        <w:t>有效期限：</w:t>
      </w:r>
      <w:r>
        <w:rPr>
          <w:rFonts w:hint="eastAsia" w:ascii="新宋体" w:hAnsi="新宋体" w:eastAsia="新宋体" w:cs="新宋体"/>
          <w:snapToGrid w:val="0"/>
          <w:color w:val="auto"/>
          <w:kern w:val="0"/>
          <w:sz w:val="30"/>
          <w:szCs w:val="30"/>
          <w:highlight w:val="none"/>
          <w:u w:val="single"/>
        </w:rPr>
        <w:t xml:space="preserve">    </w:t>
      </w:r>
      <w:r>
        <w:rPr>
          <w:rFonts w:hint="eastAsia" w:ascii="新宋体" w:hAnsi="新宋体" w:eastAsia="新宋体" w:cs="新宋体"/>
          <w:snapToGrid w:val="0"/>
          <w:color w:val="auto"/>
          <w:kern w:val="0"/>
          <w:sz w:val="30"/>
          <w:szCs w:val="30"/>
          <w:highlight w:val="none"/>
        </w:rPr>
        <w:t xml:space="preserve"> 年</w:t>
      </w:r>
      <w:r>
        <w:rPr>
          <w:rFonts w:hint="eastAsia" w:ascii="新宋体" w:hAnsi="新宋体" w:eastAsia="新宋体" w:cs="新宋体"/>
          <w:snapToGrid w:val="0"/>
          <w:color w:val="auto"/>
          <w:kern w:val="0"/>
          <w:sz w:val="30"/>
          <w:szCs w:val="30"/>
          <w:highlight w:val="none"/>
          <w:u w:val="single"/>
        </w:rPr>
        <w:t xml:space="preserve">  </w:t>
      </w:r>
      <w:r>
        <w:rPr>
          <w:rFonts w:hint="eastAsia" w:ascii="新宋体" w:hAnsi="新宋体" w:eastAsia="新宋体" w:cs="新宋体"/>
          <w:snapToGrid w:val="0"/>
          <w:color w:val="auto"/>
          <w:kern w:val="0"/>
          <w:sz w:val="30"/>
          <w:szCs w:val="30"/>
          <w:highlight w:val="none"/>
        </w:rPr>
        <w:t xml:space="preserve"> 月</w:t>
      </w:r>
      <w:r>
        <w:rPr>
          <w:rFonts w:hint="eastAsia" w:ascii="新宋体" w:hAnsi="新宋体" w:eastAsia="新宋体" w:cs="新宋体"/>
          <w:snapToGrid w:val="0"/>
          <w:color w:val="auto"/>
          <w:kern w:val="0"/>
          <w:sz w:val="30"/>
          <w:szCs w:val="30"/>
          <w:highlight w:val="none"/>
          <w:u w:val="single"/>
        </w:rPr>
        <w:t xml:space="preserve">    </w:t>
      </w:r>
      <w:r>
        <w:rPr>
          <w:rFonts w:hint="eastAsia" w:ascii="新宋体" w:hAnsi="新宋体" w:eastAsia="新宋体" w:cs="新宋体"/>
          <w:snapToGrid w:val="0"/>
          <w:color w:val="auto"/>
          <w:kern w:val="0"/>
          <w:sz w:val="30"/>
          <w:szCs w:val="30"/>
          <w:highlight w:val="none"/>
        </w:rPr>
        <w:t xml:space="preserve">日至  </w:t>
      </w:r>
      <w:r>
        <w:rPr>
          <w:rFonts w:hint="eastAsia" w:ascii="新宋体" w:hAnsi="新宋体" w:eastAsia="新宋体" w:cs="新宋体"/>
          <w:snapToGrid w:val="0"/>
          <w:color w:val="auto"/>
          <w:kern w:val="0"/>
          <w:sz w:val="30"/>
          <w:szCs w:val="30"/>
          <w:highlight w:val="none"/>
          <w:u w:val="single"/>
        </w:rPr>
        <w:t xml:space="preserve">      </w:t>
      </w:r>
      <w:r>
        <w:rPr>
          <w:rFonts w:hint="eastAsia" w:ascii="新宋体" w:hAnsi="新宋体" w:eastAsia="新宋体" w:cs="新宋体"/>
          <w:snapToGrid w:val="0"/>
          <w:color w:val="auto"/>
          <w:kern w:val="0"/>
          <w:sz w:val="30"/>
          <w:szCs w:val="30"/>
          <w:highlight w:val="none"/>
        </w:rPr>
        <w:t>年</w:t>
      </w:r>
      <w:r>
        <w:rPr>
          <w:rFonts w:hint="eastAsia" w:ascii="新宋体" w:hAnsi="新宋体" w:eastAsia="新宋体" w:cs="新宋体"/>
          <w:snapToGrid w:val="0"/>
          <w:color w:val="auto"/>
          <w:kern w:val="0"/>
          <w:sz w:val="30"/>
          <w:szCs w:val="30"/>
          <w:highlight w:val="none"/>
          <w:u w:val="single"/>
        </w:rPr>
        <w:t xml:space="preserve">   </w:t>
      </w:r>
      <w:r>
        <w:rPr>
          <w:rFonts w:hint="eastAsia" w:ascii="新宋体" w:hAnsi="新宋体" w:eastAsia="新宋体" w:cs="新宋体"/>
          <w:snapToGrid w:val="0"/>
          <w:color w:val="auto"/>
          <w:kern w:val="0"/>
          <w:sz w:val="30"/>
          <w:szCs w:val="30"/>
          <w:highlight w:val="none"/>
        </w:rPr>
        <w:t>月</w:t>
      </w:r>
      <w:r>
        <w:rPr>
          <w:rFonts w:hint="eastAsia" w:ascii="新宋体" w:hAnsi="新宋体" w:eastAsia="新宋体" w:cs="新宋体"/>
          <w:snapToGrid w:val="0"/>
          <w:color w:val="auto"/>
          <w:kern w:val="0"/>
          <w:sz w:val="30"/>
          <w:szCs w:val="30"/>
          <w:highlight w:val="none"/>
          <w:u w:val="single"/>
        </w:rPr>
        <w:t xml:space="preserve">    </w:t>
      </w:r>
      <w:r>
        <w:rPr>
          <w:rFonts w:hint="eastAsia" w:ascii="新宋体" w:hAnsi="新宋体" w:eastAsia="新宋体" w:cs="新宋体"/>
          <w:snapToGrid w:val="0"/>
          <w:color w:val="auto"/>
          <w:kern w:val="0"/>
          <w:sz w:val="30"/>
          <w:szCs w:val="30"/>
          <w:highlight w:val="none"/>
        </w:rPr>
        <w:t>日</w:t>
      </w:r>
    </w:p>
    <w:p w14:paraId="5B1D6EBD">
      <w:pPr>
        <w:spacing w:line="400" w:lineRule="exact"/>
        <w:rPr>
          <w:rFonts w:hint="eastAsia" w:ascii="新宋体" w:hAnsi="新宋体" w:eastAsia="新宋体" w:cs="新宋体"/>
          <w:snapToGrid w:val="0"/>
          <w:color w:val="auto"/>
          <w:kern w:val="0"/>
          <w:sz w:val="30"/>
          <w:szCs w:val="30"/>
          <w:highlight w:val="none"/>
        </w:rPr>
      </w:pPr>
    </w:p>
    <w:p w14:paraId="6735EE88">
      <w:pPr>
        <w:spacing w:line="400" w:lineRule="exact"/>
        <w:rPr>
          <w:rFonts w:hint="eastAsia" w:ascii="新宋体" w:hAnsi="新宋体" w:eastAsia="新宋体" w:cs="新宋体"/>
          <w:snapToGrid w:val="0"/>
          <w:color w:val="auto"/>
          <w:kern w:val="0"/>
          <w:sz w:val="30"/>
          <w:szCs w:val="30"/>
          <w:highlight w:val="none"/>
        </w:rPr>
      </w:pPr>
    </w:p>
    <w:p w14:paraId="3A7E0750">
      <w:pPr>
        <w:spacing w:line="400" w:lineRule="exact"/>
        <w:rPr>
          <w:rFonts w:hint="eastAsia" w:ascii="新宋体" w:hAnsi="新宋体" w:eastAsia="新宋体" w:cs="新宋体"/>
          <w:snapToGrid w:val="0"/>
          <w:color w:val="auto"/>
          <w:kern w:val="0"/>
          <w:sz w:val="30"/>
          <w:szCs w:val="30"/>
          <w:highlight w:val="none"/>
        </w:rPr>
      </w:pPr>
    </w:p>
    <w:p w14:paraId="067593FF">
      <w:pPr>
        <w:spacing w:line="400" w:lineRule="exact"/>
        <w:rPr>
          <w:rFonts w:hint="eastAsia" w:ascii="新宋体" w:hAnsi="新宋体" w:eastAsia="新宋体" w:cs="新宋体"/>
          <w:snapToGrid w:val="0"/>
          <w:color w:val="auto"/>
          <w:kern w:val="0"/>
          <w:sz w:val="30"/>
          <w:szCs w:val="30"/>
          <w:highlight w:val="none"/>
        </w:rPr>
      </w:pPr>
    </w:p>
    <w:p w14:paraId="7014A6DD">
      <w:pPr>
        <w:spacing w:line="400" w:lineRule="exact"/>
        <w:rPr>
          <w:rFonts w:hint="eastAsia" w:ascii="新宋体" w:hAnsi="新宋体" w:eastAsia="新宋体" w:cs="新宋体"/>
          <w:snapToGrid w:val="0"/>
          <w:color w:val="auto"/>
          <w:kern w:val="0"/>
          <w:sz w:val="30"/>
          <w:szCs w:val="30"/>
          <w:highlight w:val="none"/>
        </w:rPr>
      </w:pPr>
    </w:p>
    <w:p w14:paraId="413F9DCF">
      <w:pPr>
        <w:spacing w:line="400" w:lineRule="exact"/>
        <w:rPr>
          <w:rFonts w:hint="eastAsia" w:ascii="新宋体" w:hAnsi="新宋体" w:eastAsia="新宋体" w:cs="新宋体"/>
          <w:snapToGrid w:val="0"/>
          <w:color w:val="auto"/>
          <w:kern w:val="0"/>
          <w:sz w:val="30"/>
          <w:szCs w:val="30"/>
          <w:highlight w:val="none"/>
        </w:rPr>
      </w:pPr>
    </w:p>
    <w:p w14:paraId="399D1679">
      <w:pPr>
        <w:rPr>
          <w:rFonts w:hint="eastAsia" w:ascii="新宋体" w:hAnsi="新宋体" w:eastAsia="新宋体" w:cs="新宋体"/>
          <w:color w:val="auto"/>
          <w:highlight w:val="none"/>
        </w:rPr>
      </w:pPr>
      <w:r>
        <w:rPr>
          <w:rFonts w:hint="eastAsia" w:ascii="新宋体" w:hAnsi="新宋体" w:eastAsia="新宋体" w:cs="新宋体"/>
          <w:color w:val="auto"/>
          <w:highlight w:val="none"/>
        </w:rPr>
        <w:br w:type="page"/>
      </w:r>
    </w:p>
    <w:p w14:paraId="080461DA">
      <w:pPr>
        <w:keepNext w:val="0"/>
        <w:keepLines w:val="0"/>
        <w:pageBreakBefore w:val="0"/>
        <w:widowControl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甲乙双方经协商，一致同意订立如下条款：</w:t>
      </w:r>
    </w:p>
    <w:p w14:paraId="715F5D4D">
      <w:pPr>
        <w:keepNext w:val="0"/>
        <w:keepLines w:val="0"/>
        <w:pageBreakBefore w:val="0"/>
        <w:widowControl w:val="0"/>
        <w:kinsoku/>
        <w:wordWrap/>
        <w:overflowPunct/>
        <w:topLinePunct w:val="0"/>
        <w:autoSpaceDE/>
        <w:autoSpaceDN/>
        <w:bidi w:val="0"/>
        <w:adjustRightInd/>
        <w:spacing w:line="460" w:lineRule="exact"/>
        <w:ind w:firstLine="422" w:firstLineChars="192"/>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甲方（采购人）：</w:t>
      </w:r>
    </w:p>
    <w:p w14:paraId="41D4C5C8">
      <w:pPr>
        <w:keepNext w:val="0"/>
        <w:keepLines w:val="0"/>
        <w:pageBreakBefore w:val="0"/>
        <w:widowControl w:val="0"/>
        <w:kinsoku/>
        <w:wordWrap/>
        <w:overflowPunct/>
        <w:topLinePunct w:val="0"/>
        <w:autoSpaceDE/>
        <w:autoSpaceDN/>
        <w:bidi w:val="0"/>
        <w:adjustRightInd/>
        <w:spacing w:line="460" w:lineRule="exact"/>
        <w:ind w:firstLine="422" w:firstLineChars="192"/>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乙方（中标人）：</w:t>
      </w:r>
    </w:p>
    <w:p w14:paraId="421AD12A">
      <w:pPr>
        <w:keepNext w:val="0"/>
        <w:keepLines w:val="0"/>
        <w:pageBreakBefore w:val="0"/>
        <w:widowControl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甲乙双方根据《中华人民共和国</w:t>
      </w:r>
      <w:r>
        <w:rPr>
          <w:rFonts w:hint="eastAsia" w:ascii="新宋体" w:hAnsi="新宋体" w:eastAsia="新宋体" w:cs="新宋体"/>
          <w:color w:val="auto"/>
          <w:sz w:val="22"/>
          <w:szCs w:val="22"/>
          <w:highlight w:val="none"/>
          <w:lang w:eastAsia="zh-CN"/>
        </w:rPr>
        <w:t>民法典</w:t>
      </w:r>
      <w:r>
        <w:rPr>
          <w:rFonts w:hint="eastAsia" w:ascii="新宋体" w:hAnsi="新宋体" w:eastAsia="新宋体" w:cs="新宋体"/>
          <w:color w:val="auto"/>
          <w:sz w:val="22"/>
          <w:szCs w:val="22"/>
          <w:highlight w:val="none"/>
        </w:rPr>
        <w:t>》等有关法律法规和本合同的招标文件、投标文件及承诺，经双方友好协商，同意签订本合同，共同遵守。</w:t>
      </w:r>
    </w:p>
    <w:p w14:paraId="01EE2C99">
      <w:pPr>
        <w:keepNext w:val="0"/>
        <w:keepLines w:val="0"/>
        <w:pageBreakBefore w:val="0"/>
        <w:widowControl w:val="0"/>
        <w:numPr>
          <w:ilvl w:val="0"/>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承包内容和承包期限</w:t>
      </w:r>
    </w:p>
    <w:p w14:paraId="04B108F6">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Cs/>
          <w:color w:val="auto"/>
          <w:sz w:val="22"/>
          <w:szCs w:val="22"/>
          <w:highlight w:val="none"/>
        </w:rPr>
        <w:t>根据招标文件第</w:t>
      </w:r>
      <w:r>
        <w:rPr>
          <w:rFonts w:hint="eastAsia" w:ascii="新宋体" w:hAnsi="新宋体" w:eastAsia="新宋体" w:cs="新宋体"/>
          <w:bCs/>
          <w:color w:val="auto"/>
          <w:sz w:val="22"/>
          <w:szCs w:val="22"/>
          <w:highlight w:val="none"/>
          <w:lang w:val="en-US" w:eastAsia="zh-CN"/>
        </w:rPr>
        <w:t>四</w:t>
      </w:r>
      <w:r>
        <w:rPr>
          <w:rFonts w:hint="eastAsia" w:ascii="新宋体" w:hAnsi="新宋体" w:eastAsia="新宋体" w:cs="新宋体"/>
          <w:bCs/>
          <w:color w:val="auto"/>
          <w:sz w:val="22"/>
          <w:szCs w:val="22"/>
          <w:highlight w:val="none"/>
        </w:rPr>
        <w:t>部分的内容，提供</w:t>
      </w:r>
      <w:r>
        <w:rPr>
          <w:rFonts w:hint="eastAsia" w:ascii="新宋体" w:hAnsi="新宋体" w:eastAsia="新宋体" w:cs="新宋体"/>
          <w:bCs/>
          <w:color w:val="auto"/>
          <w:sz w:val="22"/>
          <w:szCs w:val="22"/>
          <w:highlight w:val="none"/>
          <w:u w:val="single"/>
        </w:rPr>
        <w:t>温州市第七人民医院布草洗涤服务</w:t>
      </w:r>
      <w:r>
        <w:rPr>
          <w:rFonts w:hint="eastAsia" w:ascii="新宋体" w:hAnsi="新宋体" w:eastAsia="新宋体" w:cs="新宋体"/>
          <w:bCs/>
          <w:color w:val="auto"/>
          <w:sz w:val="22"/>
          <w:szCs w:val="22"/>
          <w:highlight w:val="none"/>
        </w:rPr>
        <w:t>。</w:t>
      </w:r>
    </w:p>
    <w:p w14:paraId="25F04C0D">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本次合同承包期为</w:t>
      </w:r>
      <w:r>
        <w:rPr>
          <w:rFonts w:hint="eastAsia" w:ascii="新宋体" w:hAnsi="新宋体" w:eastAsia="新宋体" w:cs="新宋体"/>
          <w:color w:val="auto"/>
          <w:sz w:val="22"/>
          <w:szCs w:val="22"/>
          <w:highlight w:val="none"/>
          <w:lang w:eastAsia="zh-CN"/>
        </w:rPr>
        <w:t>合同签订后</w:t>
      </w:r>
      <w:r>
        <w:rPr>
          <w:rFonts w:hint="eastAsia" w:ascii="新宋体" w:hAnsi="新宋体" w:eastAsia="新宋体" w:cs="新宋体"/>
          <w:color w:val="auto"/>
          <w:sz w:val="22"/>
          <w:szCs w:val="22"/>
          <w:highlight w:val="none"/>
          <w:u w:val="single"/>
        </w:rPr>
        <w:t xml:space="preserve"> 壹 </w:t>
      </w:r>
      <w:r>
        <w:rPr>
          <w:rFonts w:hint="eastAsia" w:ascii="新宋体" w:hAnsi="新宋体" w:eastAsia="新宋体" w:cs="新宋体"/>
          <w:color w:val="auto"/>
          <w:sz w:val="22"/>
          <w:szCs w:val="22"/>
          <w:highlight w:val="none"/>
        </w:rPr>
        <w:t>年</w:t>
      </w:r>
      <w:r>
        <w:rPr>
          <w:rFonts w:hint="eastAsia" w:ascii="新宋体" w:hAnsi="新宋体" w:eastAsia="新宋体" w:cs="新宋体"/>
          <w:color w:val="auto"/>
          <w:sz w:val="22"/>
          <w:szCs w:val="22"/>
          <w:highlight w:val="none"/>
          <w:lang w:val="en-US" w:eastAsia="zh-CN"/>
        </w:rPr>
        <w:t>或合同签订后实际结算价</w:t>
      </w:r>
      <w:r>
        <w:rPr>
          <w:rFonts w:hint="eastAsia" w:ascii="新宋体" w:hAnsi="新宋体" w:eastAsia="新宋体" w:cs="新宋体"/>
          <w:color w:val="auto"/>
          <w:sz w:val="22"/>
          <w:szCs w:val="22"/>
          <w:highlight w:val="none"/>
        </w:rPr>
        <w:t xml:space="preserve">达到人民币 </w:t>
      </w:r>
      <w:r>
        <w:rPr>
          <w:rFonts w:hint="eastAsia" w:ascii="新宋体" w:hAnsi="新宋体" w:eastAsia="新宋体" w:cs="新宋体"/>
          <w:color w:val="auto"/>
          <w:sz w:val="22"/>
          <w:szCs w:val="22"/>
          <w:highlight w:val="none"/>
          <w:u w:val="single"/>
        </w:rPr>
        <w:t xml:space="preserve"> 壹佰肆拾万   </w:t>
      </w:r>
      <w:r>
        <w:rPr>
          <w:rFonts w:hint="eastAsia" w:ascii="新宋体" w:hAnsi="新宋体" w:eastAsia="新宋体" w:cs="新宋体"/>
          <w:color w:val="auto"/>
          <w:sz w:val="22"/>
          <w:szCs w:val="22"/>
          <w:highlight w:val="none"/>
        </w:rPr>
        <w:t>元整（¥</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en-US" w:eastAsia="zh-CN"/>
        </w:rPr>
        <w:t>1400000</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元）</w:t>
      </w:r>
      <w:r>
        <w:rPr>
          <w:rFonts w:hint="eastAsia" w:ascii="新宋体" w:hAnsi="新宋体" w:eastAsia="新宋体" w:cs="新宋体"/>
          <w:color w:val="auto"/>
          <w:sz w:val="22"/>
          <w:szCs w:val="22"/>
          <w:highlight w:val="none"/>
          <w:lang w:eastAsia="zh-CN"/>
        </w:rPr>
        <w:t>，</w:t>
      </w:r>
      <w:r>
        <w:rPr>
          <w:rFonts w:hint="eastAsia" w:ascii="新宋体" w:hAnsi="新宋体" w:eastAsia="新宋体"/>
          <w:color w:val="auto"/>
          <w:sz w:val="22"/>
          <w:highlight w:val="none"/>
        </w:rPr>
        <w:t>任一条件达到即视为合作期结束</w:t>
      </w:r>
      <w:r>
        <w:rPr>
          <w:rFonts w:hint="eastAsia" w:ascii="新宋体" w:hAnsi="新宋体" w:eastAsia="新宋体"/>
          <w:color w:val="auto"/>
          <w:sz w:val="22"/>
          <w:highlight w:val="none"/>
          <w:lang w:eastAsia="zh-CN"/>
        </w:rPr>
        <w:t>。</w:t>
      </w:r>
    </w:p>
    <w:p w14:paraId="1766C329">
      <w:pPr>
        <w:keepNext w:val="0"/>
        <w:keepLines w:val="0"/>
        <w:pageBreakBefore w:val="0"/>
        <w:widowControl w:val="0"/>
        <w:numPr>
          <w:ilvl w:val="0"/>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合同价格</w:t>
      </w:r>
    </w:p>
    <w:p w14:paraId="17B5C46F">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本合同年承包</w:t>
      </w:r>
      <w:r>
        <w:rPr>
          <w:rFonts w:hint="eastAsia" w:ascii="新宋体" w:hAnsi="新宋体" w:eastAsia="新宋体" w:cs="新宋体"/>
          <w:color w:val="auto"/>
          <w:sz w:val="22"/>
          <w:szCs w:val="22"/>
          <w:highlight w:val="none"/>
          <w:u w:val="single"/>
        </w:rPr>
        <w:t xml:space="preserve">床日综合单价  </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u w:val="single"/>
        </w:rPr>
        <w:t xml:space="preserve"> 元整每床日（￥    元/床日）</w:t>
      </w:r>
      <w:r>
        <w:rPr>
          <w:rFonts w:hint="eastAsia" w:ascii="新宋体" w:hAnsi="新宋体" w:eastAsia="新宋体" w:cs="新宋体"/>
          <w:color w:val="auto"/>
          <w:sz w:val="22"/>
          <w:szCs w:val="22"/>
          <w:highlight w:val="none"/>
        </w:rPr>
        <w:t>，项目负责人为：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w:t>
      </w:r>
    </w:p>
    <w:p w14:paraId="50B6395F">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承包总价必须包括乙方在承包区域内提供相关洗涤服务所需的一切人员工资、奖金、各种加班费、高温补贴、各种社会保险、食宿与交通、设备及工具、器材、医用洗涤品损耗、消耗材料、消毒、仓储、运输、管理费用、税费、利润、完成合同所需的一切本身和不可或缺的所有工作开支、政策性文件规定及合同包含的所有风险、责任等各项全部费用并承担一切风险责任。</w:t>
      </w:r>
    </w:p>
    <w:p w14:paraId="0BA7B891">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本合同年承包</w:t>
      </w:r>
      <w:r>
        <w:rPr>
          <w:rFonts w:hint="eastAsia" w:ascii="新宋体" w:hAnsi="新宋体" w:eastAsia="新宋体" w:cs="新宋体"/>
          <w:color w:val="auto"/>
          <w:sz w:val="22"/>
          <w:szCs w:val="22"/>
          <w:highlight w:val="none"/>
          <w:lang w:val="en-US" w:eastAsia="zh-CN"/>
        </w:rPr>
        <w:t>价格</w:t>
      </w:r>
      <w:r>
        <w:rPr>
          <w:rFonts w:hint="eastAsia" w:ascii="新宋体" w:hAnsi="新宋体" w:eastAsia="新宋体" w:cs="新宋体"/>
          <w:color w:val="auto"/>
          <w:sz w:val="22"/>
          <w:szCs w:val="22"/>
          <w:highlight w:val="none"/>
        </w:rPr>
        <w:t>根据实际占用总床日数进行结算，保持床日综合单价不变。</w:t>
      </w:r>
      <w:r>
        <w:rPr>
          <w:rFonts w:hint="eastAsia" w:ascii="新宋体" w:hAnsi="新宋体" w:eastAsia="新宋体" w:cs="新宋体"/>
          <w:b/>
          <w:bCs/>
          <w:color w:val="auto"/>
          <w:sz w:val="22"/>
          <w:szCs w:val="22"/>
          <w:highlight w:val="none"/>
        </w:rPr>
        <w:t>本合同年承包</w:t>
      </w:r>
      <w:r>
        <w:rPr>
          <w:rFonts w:hint="eastAsia" w:ascii="新宋体" w:hAnsi="新宋体" w:eastAsia="新宋体" w:cs="新宋体"/>
          <w:b/>
          <w:bCs/>
          <w:color w:val="auto"/>
          <w:sz w:val="22"/>
          <w:szCs w:val="22"/>
          <w:highlight w:val="none"/>
          <w:lang w:eastAsia="zh-CN"/>
        </w:rPr>
        <w:t>价格</w:t>
      </w:r>
      <w:r>
        <w:rPr>
          <w:rFonts w:hint="eastAsia" w:ascii="新宋体" w:hAnsi="新宋体" w:eastAsia="新宋体" w:cs="新宋体"/>
          <w:b/>
          <w:bCs/>
          <w:color w:val="auto"/>
          <w:sz w:val="22"/>
          <w:szCs w:val="22"/>
          <w:highlight w:val="none"/>
        </w:rPr>
        <w:t>是根据全院</w:t>
      </w:r>
      <w:r>
        <w:rPr>
          <w:rFonts w:hint="eastAsia" w:ascii="新宋体" w:hAnsi="新宋体" w:eastAsia="新宋体" w:cs="新宋体"/>
          <w:b/>
          <w:bCs/>
          <w:color w:val="auto"/>
          <w:sz w:val="22"/>
          <w:szCs w:val="22"/>
          <w:highlight w:val="none"/>
          <w:lang w:eastAsia="zh-CN"/>
        </w:rPr>
        <w:t>实际占用总床日数</w:t>
      </w:r>
      <w:r>
        <w:rPr>
          <w:rFonts w:hint="eastAsia" w:ascii="新宋体" w:hAnsi="新宋体" w:eastAsia="新宋体" w:cs="新宋体"/>
          <w:b/>
          <w:bCs/>
          <w:color w:val="auto"/>
          <w:sz w:val="22"/>
          <w:szCs w:val="22"/>
          <w:highlight w:val="none"/>
        </w:rPr>
        <w:t>×中标单价（   元）进行汇总计算</w:t>
      </w:r>
      <w:r>
        <w:rPr>
          <w:rFonts w:hint="eastAsia" w:ascii="新宋体" w:hAnsi="新宋体" w:eastAsia="新宋体" w:cs="新宋体"/>
          <w:b/>
          <w:bCs/>
          <w:color w:val="auto"/>
          <w:sz w:val="22"/>
          <w:szCs w:val="22"/>
          <w:highlight w:val="none"/>
          <w:lang w:eastAsia="zh-CN"/>
        </w:rPr>
        <w:t>的。</w:t>
      </w:r>
    </w:p>
    <w:p w14:paraId="3C38C6EA">
      <w:pPr>
        <w:keepNext w:val="0"/>
        <w:keepLines w:val="0"/>
        <w:pageBreakBefore w:val="0"/>
        <w:widowControl w:val="0"/>
        <w:numPr>
          <w:ilvl w:val="0"/>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甲方责任条款</w:t>
      </w:r>
    </w:p>
    <w:p w14:paraId="607485FB">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提供医院洗涤服务质量标准、作业规范及考核办法。</w:t>
      </w:r>
    </w:p>
    <w:p w14:paraId="17C44283">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组织对乙方提供服务的考核。</w:t>
      </w:r>
    </w:p>
    <w:p w14:paraId="0761D096">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按合同约定支付合同款项。</w:t>
      </w:r>
    </w:p>
    <w:p w14:paraId="00F6F8AE">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如遇突发事件，协调乙方在作业过程中与其他部门的关系。</w:t>
      </w:r>
    </w:p>
    <w:p w14:paraId="7DC25D4F">
      <w:pPr>
        <w:keepNext w:val="0"/>
        <w:keepLines w:val="0"/>
        <w:pageBreakBefore w:val="0"/>
        <w:widowControl w:val="0"/>
        <w:numPr>
          <w:ilvl w:val="0"/>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乙方责任条款</w:t>
      </w:r>
    </w:p>
    <w:p w14:paraId="436845BB">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按招标文件、投标文件及医院的有关要求提供医院洗涤服务。</w:t>
      </w:r>
    </w:p>
    <w:p w14:paraId="3643A029">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遇到突发事件或自然灾害，必须服从甲方指挥与安排。</w:t>
      </w:r>
    </w:p>
    <w:p w14:paraId="2EDB7024">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协助甲方调查、处理有关投诉，并根据甲方要求及时处理。</w:t>
      </w:r>
    </w:p>
    <w:p w14:paraId="3E074563">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完成甲方交办的临时性任务。</w:t>
      </w:r>
    </w:p>
    <w:p w14:paraId="1E0F05F5">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未经甲方同意，乙方无权在承包区域内从事任何经营活动或类似宣传，甲方有权依照法律法规和甲方相关的规定责令乙方限期改正，并接受处罚。</w:t>
      </w:r>
    </w:p>
    <w:p w14:paraId="35A1E0C1">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未经甲方同意，乙方不得以任何形式转租、转让、抵押承包区域及承包合同内容，在承包区域内只从事甲方认可的承包工作；否则甲方有权单方面终止合同，并保留进一步追究乙方责任的权利。在承包期间，乙方任何重大变动或法律事宜均应通知甲方。</w:t>
      </w:r>
    </w:p>
    <w:p w14:paraId="7EFEE51C">
      <w:pPr>
        <w:keepNext w:val="0"/>
        <w:keepLines w:val="0"/>
        <w:pageBreakBefore w:val="0"/>
        <w:widowControl w:val="0"/>
        <w:numPr>
          <w:ilvl w:val="0"/>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付款方式</w:t>
      </w:r>
    </w:p>
    <w:p w14:paraId="1895DDA8">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u w:val="single"/>
        </w:rPr>
      </w:pPr>
      <w:r>
        <w:rPr>
          <w:rFonts w:hint="eastAsia" w:ascii="新宋体" w:hAnsi="新宋体" w:eastAsia="新宋体" w:cs="新宋体"/>
          <w:b/>
          <w:bCs/>
          <w:color w:val="auto"/>
          <w:sz w:val="22"/>
          <w:szCs w:val="22"/>
          <w:highlight w:val="none"/>
          <w:u w:val="single"/>
        </w:rPr>
        <w:t>▲</w:t>
      </w:r>
      <w:r>
        <w:rPr>
          <w:rFonts w:hint="eastAsia" w:ascii="新宋体" w:hAnsi="新宋体" w:eastAsia="新宋体" w:cs="新宋体"/>
          <w:color w:val="auto"/>
          <w:sz w:val="22"/>
          <w:szCs w:val="22"/>
          <w:highlight w:val="none"/>
          <w:u w:val="single"/>
        </w:rPr>
        <w:t>乙方在签订合同后15天内，向甲方提供</w:t>
      </w:r>
      <w:r>
        <w:rPr>
          <w:rFonts w:hint="eastAsia" w:ascii="新宋体" w:hAnsi="新宋体" w:eastAsia="新宋体" w:cs="新宋体"/>
          <w:color w:val="auto"/>
          <w:sz w:val="22"/>
          <w:szCs w:val="22"/>
          <w:highlight w:val="none"/>
          <w:u w:val="single"/>
          <w:lang w:val="en-US" w:eastAsia="zh-CN"/>
        </w:rPr>
        <w:t>合同总金额</w:t>
      </w:r>
      <w:r>
        <w:rPr>
          <w:rFonts w:hint="eastAsia" w:ascii="新宋体" w:hAnsi="新宋体" w:eastAsia="新宋体" w:cs="新宋体"/>
          <w:b/>
          <w:bCs/>
          <w:color w:val="auto"/>
          <w:sz w:val="22"/>
          <w:szCs w:val="22"/>
          <w:highlight w:val="none"/>
          <w:u w:val="single"/>
        </w:rPr>
        <w:t>人民币</w:t>
      </w:r>
      <w:r>
        <w:rPr>
          <w:rFonts w:hint="eastAsia" w:ascii="新宋体" w:hAnsi="新宋体" w:eastAsia="新宋体" w:cs="新宋体"/>
          <w:b/>
          <w:bCs/>
          <w:color w:val="auto"/>
          <w:sz w:val="22"/>
          <w:szCs w:val="22"/>
          <w:highlight w:val="none"/>
          <w:u w:val="single"/>
          <w:lang w:val="en-US" w:eastAsia="zh-CN"/>
        </w:rPr>
        <w:t>壹</w:t>
      </w:r>
      <w:r>
        <w:rPr>
          <w:rFonts w:hint="eastAsia" w:ascii="新宋体" w:hAnsi="新宋体" w:eastAsia="新宋体" w:cs="新宋体"/>
          <w:b/>
          <w:bCs/>
          <w:color w:val="auto"/>
          <w:sz w:val="22"/>
          <w:szCs w:val="22"/>
          <w:highlight w:val="none"/>
          <w:u w:val="single"/>
          <w:lang w:eastAsia="zh-CN"/>
        </w:rPr>
        <w:t>万</w:t>
      </w:r>
      <w:r>
        <w:rPr>
          <w:rFonts w:hint="eastAsia" w:ascii="新宋体" w:hAnsi="新宋体" w:eastAsia="新宋体" w:cs="新宋体"/>
          <w:b/>
          <w:bCs/>
          <w:color w:val="auto"/>
          <w:sz w:val="22"/>
          <w:szCs w:val="22"/>
          <w:highlight w:val="none"/>
          <w:u w:val="single"/>
          <w:lang w:val="en-US" w:eastAsia="zh-CN"/>
        </w:rPr>
        <w:t>肆</w:t>
      </w:r>
      <w:r>
        <w:rPr>
          <w:rFonts w:hint="eastAsia" w:ascii="新宋体" w:hAnsi="新宋体" w:eastAsia="新宋体" w:cs="新宋体"/>
          <w:b/>
          <w:bCs/>
          <w:color w:val="auto"/>
          <w:sz w:val="22"/>
          <w:szCs w:val="22"/>
          <w:highlight w:val="none"/>
          <w:u w:val="single"/>
          <w:lang w:eastAsia="zh-CN"/>
        </w:rPr>
        <w:t>仟</w:t>
      </w:r>
      <w:r>
        <w:rPr>
          <w:rFonts w:hint="eastAsia" w:ascii="新宋体" w:hAnsi="新宋体" w:eastAsia="新宋体" w:cs="新宋体"/>
          <w:b/>
          <w:bCs/>
          <w:color w:val="auto"/>
          <w:sz w:val="22"/>
          <w:szCs w:val="22"/>
          <w:highlight w:val="none"/>
          <w:u w:val="single"/>
        </w:rPr>
        <w:t>元的履约保</w:t>
      </w:r>
      <w:r>
        <w:rPr>
          <w:rFonts w:hint="eastAsia" w:ascii="新宋体" w:hAnsi="新宋体" w:eastAsia="新宋体" w:cs="新宋体"/>
          <w:color w:val="auto"/>
          <w:sz w:val="22"/>
          <w:szCs w:val="22"/>
          <w:highlight w:val="none"/>
          <w:u w:val="single"/>
        </w:rPr>
        <w:t>证金。</w:t>
      </w:r>
    </w:p>
    <w:p w14:paraId="56DAD7C2">
      <w:pPr>
        <w:keepNext w:val="0"/>
        <w:keepLines w:val="0"/>
        <w:pageBreakBefore w:val="0"/>
        <w:widowControl w:val="0"/>
        <w:kinsoku/>
        <w:wordWrap/>
        <w:overflowPunct/>
        <w:topLinePunct w:val="0"/>
        <w:autoSpaceDE/>
        <w:autoSpaceDN/>
        <w:bidi w:val="0"/>
        <w:adjustRightInd/>
        <w:snapToGrid w:val="0"/>
        <w:spacing w:line="460" w:lineRule="exact"/>
        <w:ind w:left="567"/>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承包期结束</w:t>
      </w:r>
      <w:r>
        <w:rPr>
          <w:rFonts w:hint="eastAsia" w:ascii="新宋体" w:hAnsi="新宋体" w:eastAsia="新宋体" w:cs="新宋体"/>
          <w:color w:val="auto"/>
          <w:sz w:val="22"/>
          <w:szCs w:val="22"/>
          <w:highlight w:val="none"/>
          <w:lang w:eastAsia="zh-CN"/>
        </w:rPr>
        <w:t>后</w:t>
      </w:r>
      <w:r>
        <w:rPr>
          <w:rFonts w:hint="eastAsia" w:ascii="新宋体" w:hAnsi="新宋体" w:eastAsia="新宋体" w:cs="新宋体"/>
          <w:color w:val="auto"/>
          <w:sz w:val="22"/>
          <w:szCs w:val="22"/>
          <w:highlight w:val="none"/>
        </w:rPr>
        <w:t>，如乙方未在下一次招标中中标，则乙方应保证在与下一次中标单位在我院洗涤服务交接后的三个月内进行平稳过渡，由甲方评价该过渡期乙方的配合情况是否合格，如有不配合的情况，则甲方有权以扣罚乙方的履约保证金的形式进行处罚。且所有合同义务都已履行完毕后14天内，甲方无息退还履约保证金。</w:t>
      </w:r>
    </w:p>
    <w:p w14:paraId="0F70D8B8">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洗涤费以月实际占用总床日数按月结算，于次月15日前支付。</w:t>
      </w:r>
    </w:p>
    <w:p w14:paraId="72D27A72">
      <w:pPr>
        <w:keepNext w:val="0"/>
        <w:keepLines w:val="0"/>
        <w:pageBreakBefore w:val="0"/>
        <w:widowControl w:val="0"/>
        <w:numPr>
          <w:ilvl w:val="0"/>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违约中止合同及赔偿</w:t>
      </w:r>
    </w:p>
    <w:p w14:paraId="3DEF4662">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甲方在乙方存在如下违约情况时，有权单方面终止全部或部分合同，并保留进一步追究乙方责任的权利（包括经济赔偿）。</w:t>
      </w:r>
    </w:p>
    <w:p w14:paraId="1A931DCA">
      <w:pPr>
        <w:keepNext w:val="0"/>
        <w:keepLines w:val="0"/>
        <w:pageBreakBefore w:val="0"/>
        <w:widowControl w:val="0"/>
        <w:numPr>
          <w:ilvl w:val="0"/>
          <w:numId w:val="2"/>
        </w:numPr>
        <w:kinsoku/>
        <w:wordWrap/>
        <w:overflowPunct/>
        <w:topLinePunct w:val="0"/>
        <w:autoSpaceDE/>
        <w:autoSpaceDN/>
        <w:bidi w:val="0"/>
        <w:adjustRightIn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乙方未能履行合同规定的义务；</w:t>
      </w:r>
    </w:p>
    <w:p w14:paraId="2B5B16C4">
      <w:pPr>
        <w:keepNext w:val="0"/>
        <w:keepLines w:val="0"/>
        <w:pageBreakBefore w:val="0"/>
        <w:widowControl w:val="0"/>
        <w:numPr>
          <w:ilvl w:val="0"/>
          <w:numId w:val="2"/>
        </w:numPr>
        <w:kinsoku/>
        <w:wordWrap/>
        <w:overflowPunct/>
        <w:topLinePunct w:val="0"/>
        <w:autoSpaceDE/>
        <w:autoSpaceDN/>
        <w:bidi w:val="0"/>
        <w:adjustRightIn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有严重影响医院有关科室的正常工作及医院形象；</w:t>
      </w:r>
    </w:p>
    <w:p w14:paraId="4FD85F35">
      <w:pPr>
        <w:keepNext w:val="0"/>
        <w:keepLines w:val="0"/>
        <w:pageBreakBefore w:val="0"/>
        <w:widowControl w:val="0"/>
        <w:numPr>
          <w:ilvl w:val="0"/>
          <w:numId w:val="2"/>
        </w:numPr>
        <w:kinsoku/>
        <w:wordWrap/>
        <w:overflowPunct/>
        <w:topLinePunct w:val="0"/>
        <w:autoSpaceDE/>
        <w:autoSpaceDN/>
        <w:bidi w:val="0"/>
        <w:adjustRightIn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与招标文件不符合的做法，或不履行其投标文件的承诺。</w:t>
      </w:r>
    </w:p>
    <w:p w14:paraId="6581FC23">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乙方如要提前中止合同，需提前3个月，并征得甲方同意，否则按合同执行。</w:t>
      </w:r>
    </w:p>
    <w:p w14:paraId="2D106D06">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除不可抗力外以，如发生乙方不能履行合同义务，或甲方发生中途终止合同等情况，应及时以书面形式通知对方。甲乙双方应本着友好的态度进行协商，妥善解决。如协商无效，按下列规定计算并支付违约金：</w:t>
      </w:r>
    </w:p>
    <w:p w14:paraId="7DA0FF57">
      <w:pPr>
        <w:keepNext w:val="0"/>
        <w:keepLines w:val="0"/>
        <w:pageBreakBefore w:val="0"/>
        <w:widowControl w:val="0"/>
        <w:numPr>
          <w:ilvl w:val="0"/>
          <w:numId w:val="3"/>
        </w:numPr>
        <w:tabs>
          <w:tab w:val="left" w:pos="1222"/>
        </w:tabs>
        <w:kinsoku/>
        <w:wordWrap/>
        <w:overflowPunct/>
        <w:topLinePunct w:val="0"/>
        <w:autoSpaceDE/>
        <w:autoSpaceDN/>
        <w:bidi w:val="0"/>
        <w:adjustRightInd/>
        <w:spacing w:line="460" w:lineRule="exact"/>
        <w:ind w:left="1222" w:hanging="65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乙方不能履行合同义务，应按未履行部分合同价格的10%向甲方偿付违约金，同时履约保证金不予退还。</w:t>
      </w:r>
    </w:p>
    <w:p w14:paraId="3A0D7AEE">
      <w:pPr>
        <w:keepNext w:val="0"/>
        <w:keepLines w:val="0"/>
        <w:pageBreakBefore w:val="0"/>
        <w:widowControl w:val="0"/>
        <w:numPr>
          <w:ilvl w:val="0"/>
          <w:numId w:val="3"/>
        </w:numPr>
        <w:tabs>
          <w:tab w:val="left" w:pos="1222"/>
        </w:tabs>
        <w:kinsoku/>
        <w:wordWrap/>
        <w:overflowPunct/>
        <w:topLinePunct w:val="0"/>
        <w:autoSpaceDE/>
        <w:autoSpaceDN/>
        <w:bidi w:val="0"/>
        <w:adjustRightInd/>
        <w:spacing w:line="460" w:lineRule="exact"/>
        <w:ind w:left="1222" w:hanging="65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如乙方未能履行合同规定的任何一项义务，甲方均有权从履约保证金中得到补偿。</w:t>
      </w:r>
    </w:p>
    <w:p w14:paraId="11004D33">
      <w:pPr>
        <w:keepNext w:val="0"/>
        <w:keepLines w:val="0"/>
        <w:pageBreakBefore w:val="0"/>
        <w:widowControl w:val="0"/>
        <w:numPr>
          <w:ilvl w:val="0"/>
          <w:numId w:val="3"/>
        </w:numPr>
        <w:tabs>
          <w:tab w:val="left" w:pos="1222"/>
        </w:tabs>
        <w:kinsoku/>
        <w:wordWrap/>
        <w:overflowPunct/>
        <w:topLinePunct w:val="0"/>
        <w:autoSpaceDE/>
        <w:autoSpaceDN/>
        <w:bidi w:val="0"/>
        <w:adjustRightInd/>
        <w:spacing w:line="460" w:lineRule="exact"/>
        <w:ind w:left="1222" w:hanging="65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甲方发生中途终止合同（8.1条原因除外），应向乙方偿付违约金，违约金按未履行部分合同价格的2%计算。</w:t>
      </w:r>
    </w:p>
    <w:p w14:paraId="658ECFA4">
      <w:pPr>
        <w:keepNext w:val="0"/>
        <w:keepLines w:val="0"/>
        <w:pageBreakBefore w:val="0"/>
        <w:widowControl w:val="0"/>
        <w:numPr>
          <w:ilvl w:val="0"/>
          <w:numId w:val="3"/>
        </w:numPr>
        <w:tabs>
          <w:tab w:val="left" w:pos="1222"/>
        </w:tabs>
        <w:kinsoku/>
        <w:wordWrap/>
        <w:overflowPunct/>
        <w:topLinePunct w:val="0"/>
        <w:autoSpaceDE/>
        <w:autoSpaceDN/>
        <w:bidi w:val="0"/>
        <w:adjustRightInd/>
        <w:spacing w:line="460" w:lineRule="exact"/>
        <w:ind w:left="1222" w:hanging="655"/>
        <w:textAlignment w:val="auto"/>
        <w:rPr>
          <w:rFonts w:hint="eastAsia" w:ascii="新宋体" w:hAnsi="新宋体" w:eastAsia="新宋体" w:cs="新宋体"/>
          <w:b w:val="0"/>
          <w:color w:val="auto"/>
          <w:kern w:val="2"/>
          <w:sz w:val="22"/>
          <w:szCs w:val="22"/>
          <w:highlight w:val="none"/>
          <w:lang w:val="en-US" w:eastAsia="zh-CN" w:bidi="ar-SA"/>
        </w:rPr>
      </w:pPr>
      <w:r>
        <w:rPr>
          <w:rFonts w:hint="eastAsia" w:ascii="新宋体" w:hAnsi="新宋体" w:eastAsia="新宋体" w:cs="新宋体"/>
          <w:color w:val="auto"/>
          <w:sz w:val="22"/>
          <w:szCs w:val="22"/>
          <w:highlight w:val="none"/>
        </w:rPr>
        <w:t>在乙方归还甲方洗涤物品时甲方检验验收如有明显破损的，乙方应按物件的实际价值赔</w:t>
      </w:r>
      <w:r>
        <w:rPr>
          <w:rFonts w:hint="eastAsia" w:ascii="新宋体" w:hAnsi="新宋体" w:eastAsia="新宋体" w:cs="新宋体"/>
          <w:b w:val="0"/>
          <w:color w:val="auto"/>
          <w:kern w:val="2"/>
          <w:sz w:val="22"/>
          <w:szCs w:val="22"/>
          <w:highlight w:val="none"/>
          <w:lang w:val="en-US" w:eastAsia="zh-CN" w:bidi="ar-SA"/>
        </w:rPr>
        <w:t>偿，并处以物品实际价值的5%予以处罚。</w:t>
      </w:r>
    </w:p>
    <w:p w14:paraId="724AA222">
      <w:pPr>
        <w:pStyle w:val="21"/>
        <w:keepNext w:val="0"/>
        <w:keepLines w:val="0"/>
        <w:pageBreakBefore w:val="0"/>
        <w:widowControl w:val="0"/>
        <w:numPr>
          <w:ilvl w:val="0"/>
          <w:numId w:val="3"/>
        </w:numPr>
        <w:kinsoku/>
        <w:wordWrap/>
        <w:overflowPunct/>
        <w:topLinePunct w:val="0"/>
        <w:autoSpaceDE/>
        <w:autoSpaceDN/>
        <w:bidi w:val="0"/>
        <w:adjustRightInd/>
        <w:spacing w:after="0" w:line="460" w:lineRule="exact"/>
        <w:ind w:left="1222" w:leftChars="0" w:hanging="655" w:firstLineChars="0"/>
        <w:textAlignment w:val="auto"/>
        <w:rPr>
          <w:rFonts w:hint="eastAsia" w:ascii="新宋体" w:hAnsi="新宋体" w:eastAsia="新宋体" w:cs="新宋体"/>
          <w:b w:val="0"/>
          <w:color w:val="auto"/>
          <w:kern w:val="2"/>
          <w:sz w:val="22"/>
          <w:szCs w:val="22"/>
          <w:highlight w:val="none"/>
          <w:lang w:val="en-US" w:eastAsia="zh-CN" w:bidi="ar-SA"/>
        </w:rPr>
      </w:pPr>
      <w:r>
        <w:rPr>
          <w:rFonts w:hint="eastAsia" w:ascii="新宋体" w:hAnsi="新宋体" w:eastAsia="新宋体" w:cs="新宋体"/>
          <w:b w:val="0"/>
          <w:color w:val="auto"/>
          <w:kern w:val="2"/>
          <w:sz w:val="22"/>
          <w:szCs w:val="22"/>
          <w:highlight w:val="none"/>
          <w:lang w:val="en-US" w:eastAsia="zh-CN" w:bidi="ar-SA"/>
        </w:rPr>
        <w:t>在乙方归还甲方洗涤物品时甲方检验验收时如有数量上的缺失，乙方应立即归还缺失洗涤物品，如乙方不立即归还洗涤物品，应按物件的原价值赔偿，并处以物品实际价值的8%予以处罚。</w:t>
      </w:r>
    </w:p>
    <w:p w14:paraId="7885AC32">
      <w:pPr>
        <w:keepNext w:val="0"/>
        <w:keepLines w:val="0"/>
        <w:pageBreakBefore w:val="0"/>
        <w:widowControl w:val="0"/>
        <w:numPr>
          <w:ilvl w:val="0"/>
          <w:numId w:val="3"/>
        </w:numPr>
        <w:tabs>
          <w:tab w:val="left" w:pos="1222"/>
        </w:tabs>
        <w:kinsoku/>
        <w:wordWrap/>
        <w:overflowPunct/>
        <w:topLinePunct w:val="0"/>
        <w:autoSpaceDE/>
        <w:autoSpaceDN/>
        <w:bidi w:val="0"/>
        <w:adjustRightInd/>
        <w:spacing w:line="460" w:lineRule="exact"/>
        <w:ind w:left="1222" w:hanging="655"/>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乙方提供服务（分检混乱、洗涤不净、没有烘干、熨烫不平、修补不及时、折叠不平整）或受到甲方病区投诉意见时，除不可抗力外（指战争、严重火灾、水灾、台风和地震以及其他经双方同意属不可抗力的事故），甲方将根据考核办法进行扣分，并在考核结算时按规定扣除服务款。</w:t>
      </w:r>
    </w:p>
    <w:p w14:paraId="1B0683C2">
      <w:pPr>
        <w:keepNext w:val="0"/>
        <w:keepLines w:val="0"/>
        <w:pageBreakBefore w:val="0"/>
        <w:widowControl w:val="0"/>
        <w:numPr>
          <w:ilvl w:val="0"/>
          <w:numId w:val="3"/>
        </w:numPr>
        <w:tabs>
          <w:tab w:val="left" w:pos="1222"/>
        </w:tabs>
        <w:kinsoku/>
        <w:wordWrap/>
        <w:overflowPunct/>
        <w:topLinePunct w:val="0"/>
        <w:autoSpaceDE/>
        <w:autoSpaceDN/>
        <w:bidi w:val="0"/>
        <w:adjustRightInd/>
        <w:spacing w:line="460" w:lineRule="exact"/>
        <w:ind w:left="1222" w:hanging="65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经双方协商可终止部分或全部合同的，无须承担违约责任。</w:t>
      </w:r>
    </w:p>
    <w:p w14:paraId="4809828B">
      <w:pPr>
        <w:keepNext w:val="0"/>
        <w:keepLines w:val="0"/>
        <w:pageBreakBefore w:val="0"/>
        <w:widowControl w:val="0"/>
        <w:numPr>
          <w:ilvl w:val="0"/>
          <w:numId w:val="3"/>
        </w:numPr>
        <w:tabs>
          <w:tab w:val="left" w:pos="1222"/>
        </w:tabs>
        <w:kinsoku/>
        <w:wordWrap/>
        <w:overflowPunct/>
        <w:topLinePunct w:val="0"/>
        <w:autoSpaceDE/>
        <w:autoSpaceDN/>
        <w:bidi w:val="0"/>
        <w:adjustRightInd/>
        <w:spacing w:line="460" w:lineRule="exact"/>
        <w:ind w:left="1222" w:hanging="655"/>
        <w:textAlignment w:val="auto"/>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乙方要爱护与保管医院财产，如损坏医院设施等，按实际价值赔偿。</w:t>
      </w:r>
    </w:p>
    <w:p w14:paraId="10CCA9F8">
      <w:pPr>
        <w:keepNext w:val="0"/>
        <w:keepLines w:val="0"/>
        <w:pageBreakBefore w:val="0"/>
        <w:widowControl w:val="0"/>
        <w:numPr>
          <w:ilvl w:val="0"/>
          <w:numId w:val="3"/>
        </w:numPr>
        <w:tabs>
          <w:tab w:val="left" w:pos="1222"/>
        </w:tabs>
        <w:kinsoku/>
        <w:wordWrap/>
        <w:overflowPunct/>
        <w:topLinePunct w:val="0"/>
        <w:autoSpaceDE/>
        <w:autoSpaceDN/>
        <w:bidi w:val="0"/>
        <w:adjustRightInd/>
        <w:spacing w:line="460" w:lineRule="exact"/>
        <w:ind w:left="1222" w:hanging="655"/>
        <w:textAlignment w:val="auto"/>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rPr>
        <w:t>乙方不能按合同规定的时间送达</w:t>
      </w:r>
      <w:r>
        <w:rPr>
          <w:rFonts w:hint="eastAsia" w:ascii="新宋体" w:hAnsi="新宋体" w:eastAsia="新宋体" w:cs="新宋体"/>
          <w:b/>
          <w:bCs/>
          <w:color w:val="auto"/>
          <w:sz w:val="22"/>
          <w:szCs w:val="22"/>
          <w:highlight w:val="none"/>
          <w:lang w:eastAsia="zh-CN"/>
        </w:rPr>
        <w:t>甲方</w:t>
      </w:r>
      <w:r>
        <w:rPr>
          <w:rFonts w:hint="eastAsia" w:ascii="新宋体" w:hAnsi="新宋体" w:eastAsia="新宋体" w:cs="新宋体"/>
          <w:b/>
          <w:bCs/>
          <w:color w:val="auto"/>
          <w:sz w:val="22"/>
          <w:szCs w:val="22"/>
          <w:highlight w:val="none"/>
        </w:rPr>
        <w:t>各病区指定地点（科室）交货（配送延误不按时返还）</w:t>
      </w:r>
      <w:r>
        <w:rPr>
          <w:rFonts w:hint="eastAsia" w:ascii="新宋体" w:hAnsi="新宋体" w:eastAsia="新宋体" w:cs="新宋体"/>
          <w:b/>
          <w:bCs/>
          <w:color w:val="auto"/>
          <w:sz w:val="22"/>
          <w:szCs w:val="22"/>
          <w:highlight w:val="none"/>
          <w:lang w:eastAsia="zh-CN"/>
        </w:rPr>
        <w:t>或者受到甲方病区投诉经核实的，乙方应向甲方付延期违约金，甲方有权根据影响严重程度</w:t>
      </w:r>
      <w:r>
        <w:rPr>
          <w:rFonts w:hint="eastAsia" w:ascii="新宋体" w:hAnsi="新宋体" w:eastAsia="新宋体" w:cs="新宋体"/>
          <w:b/>
          <w:bCs/>
          <w:color w:val="auto"/>
          <w:sz w:val="22"/>
          <w:szCs w:val="22"/>
          <w:highlight w:val="none"/>
          <w:lang w:val="en-US" w:eastAsia="zh-CN"/>
        </w:rPr>
        <w:t>在同期的款项支付中扣除</w:t>
      </w:r>
      <w:r>
        <w:rPr>
          <w:rFonts w:hint="eastAsia" w:ascii="新宋体" w:hAnsi="新宋体" w:eastAsia="新宋体" w:cs="新宋体"/>
          <w:b/>
          <w:bCs/>
          <w:color w:val="auto"/>
          <w:sz w:val="22"/>
          <w:szCs w:val="22"/>
          <w:highlight w:val="none"/>
          <w:lang w:eastAsia="zh-CN"/>
        </w:rPr>
        <w:t>人民币</w:t>
      </w:r>
      <w:r>
        <w:rPr>
          <w:rFonts w:hint="eastAsia" w:ascii="新宋体" w:hAnsi="新宋体" w:eastAsia="新宋体" w:cs="新宋体"/>
          <w:b/>
          <w:bCs/>
          <w:color w:val="auto"/>
          <w:sz w:val="22"/>
          <w:szCs w:val="22"/>
          <w:highlight w:val="none"/>
          <w:lang w:val="en-US" w:eastAsia="zh-CN"/>
        </w:rPr>
        <w:t>200-2000元/次。</w:t>
      </w:r>
    </w:p>
    <w:p w14:paraId="6418A13D">
      <w:pPr>
        <w:keepNext w:val="0"/>
        <w:keepLines w:val="0"/>
        <w:pageBreakBefore w:val="0"/>
        <w:widowControl w:val="0"/>
        <w:numPr>
          <w:ilvl w:val="0"/>
          <w:numId w:val="3"/>
        </w:numPr>
        <w:tabs>
          <w:tab w:val="left" w:pos="1222"/>
        </w:tabs>
        <w:kinsoku/>
        <w:wordWrap/>
        <w:overflowPunct/>
        <w:topLinePunct w:val="0"/>
        <w:autoSpaceDE/>
        <w:autoSpaceDN/>
        <w:bidi w:val="0"/>
        <w:adjustRightInd/>
        <w:spacing w:line="460" w:lineRule="exact"/>
        <w:ind w:left="1222" w:leftChars="0" w:hanging="655" w:firstLineChars="0"/>
        <w:textAlignment w:val="auto"/>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乙方及其员工遵守医院的一切行政管理、消防安全</w:t>
      </w:r>
      <w:r>
        <w:rPr>
          <w:rFonts w:hint="eastAsia" w:ascii="新宋体" w:hAnsi="新宋体" w:eastAsia="新宋体" w:cs="新宋体"/>
          <w:b/>
          <w:bCs/>
          <w:color w:val="auto"/>
          <w:sz w:val="22"/>
          <w:szCs w:val="22"/>
          <w:highlight w:val="none"/>
          <w:lang w:eastAsia="zh-CN"/>
        </w:rPr>
        <w:t>、</w:t>
      </w:r>
      <w:r>
        <w:rPr>
          <w:rFonts w:hint="eastAsia" w:ascii="新宋体" w:hAnsi="新宋体" w:eastAsia="新宋体" w:cs="新宋体"/>
          <w:b/>
          <w:bCs/>
          <w:color w:val="auto"/>
          <w:sz w:val="22"/>
          <w:szCs w:val="22"/>
          <w:highlight w:val="none"/>
        </w:rPr>
        <w:t>病区等规定和制度，不得损坏承包区域的消防设施，并保证消防通道畅通，同时承担违规责任</w:t>
      </w:r>
      <w:r>
        <w:rPr>
          <w:rFonts w:hint="eastAsia" w:ascii="新宋体" w:hAnsi="新宋体" w:eastAsia="新宋体" w:cs="新宋体"/>
          <w:b/>
          <w:bCs/>
          <w:color w:val="auto"/>
          <w:sz w:val="22"/>
          <w:szCs w:val="22"/>
          <w:highlight w:val="none"/>
          <w:lang w:eastAsia="zh-CN"/>
        </w:rPr>
        <w:t>。</w:t>
      </w:r>
    </w:p>
    <w:p w14:paraId="5FABFA11">
      <w:pPr>
        <w:keepNext w:val="0"/>
        <w:keepLines w:val="0"/>
        <w:pageBreakBefore w:val="0"/>
        <w:widowControl w:val="0"/>
        <w:numPr>
          <w:ilvl w:val="0"/>
          <w:numId w:val="3"/>
        </w:numPr>
        <w:tabs>
          <w:tab w:val="left" w:pos="1222"/>
        </w:tabs>
        <w:kinsoku/>
        <w:wordWrap/>
        <w:overflowPunct/>
        <w:topLinePunct w:val="0"/>
        <w:autoSpaceDE/>
        <w:autoSpaceDN/>
        <w:bidi w:val="0"/>
        <w:adjustRightInd/>
        <w:spacing w:line="460" w:lineRule="exact"/>
        <w:ind w:left="1222" w:leftChars="0" w:hanging="655" w:firstLineChars="0"/>
        <w:textAlignment w:val="auto"/>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其他因乙方不作为或管理不善等因素造成医院受到相关部门处罚，或被通报批评的，由中标人承担全部后果及处罚费用。</w:t>
      </w:r>
    </w:p>
    <w:p w14:paraId="10665A71">
      <w:pPr>
        <w:keepNext w:val="0"/>
        <w:keepLines w:val="0"/>
        <w:pageBreakBefore w:val="0"/>
        <w:widowControl w:val="0"/>
        <w:numPr>
          <w:ilvl w:val="0"/>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破产终止合同</w:t>
      </w:r>
    </w:p>
    <w:p w14:paraId="135736C1">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如果乙方破产或无清偿能力时，甲方可在任何时候以书面通知乙方终止合同。该终止合同将不损害或影响甲方已经采取或将要采取的补救措施的权利。</w:t>
      </w:r>
    </w:p>
    <w:p w14:paraId="30662F36">
      <w:pPr>
        <w:keepNext w:val="0"/>
        <w:keepLines w:val="0"/>
        <w:pageBreakBefore w:val="0"/>
        <w:widowControl w:val="0"/>
        <w:numPr>
          <w:ilvl w:val="0"/>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仲裁</w:t>
      </w:r>
    </w:p>
    <w:p w14:paraId="6C495167">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双方在执行合同中所发生的一切争议，应通过协商解决。如协商不成，应向甲方法定地址所在人民法院起诉。</w:t>
      </w:r>
    </w:p>
    <w:p w14:paraId="44EAD151">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在诉讼期间，除正在进行诉讼的部份外，本合同其他部份应继续执行。</w:t>
      </w:r>
    </w:p>
    <w:p w14:paraId="185C5AD6">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诉讼费用由败诉方承担。</w:t>
      </w:r>
    </w:p>
    <w:p w14:paraId="3B14BA47">
      <w:pPr>
        <w:keepNext w:val="0"/>
        <w:keepLines w:val="0"/>
        <w:pageBreakBefore w:val="0"/>
        <w:widowControl w:val="0"/>
        <w:numPr>
          <w:ilvl w:val="0"/>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合同生效及其他</w:t>
      </w:r>
    </w:p>
    <w:p w14:paraId="517C7AE0">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合同经双方签字并加盖公章后生效。</w:t>
      </w:r>
    </w:p>
    <w:p w14:paraId="58402710">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合同签订地点：甲方所在地。</w:t>
      </w:r>
    </w:p>
    <w:p w14:paraId="336AE84A">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合同执行中，如需修改或补充合同内容，经协商，双方应签署书面修改或补充协议。该协议将作为合同不可分割的一部分。</w:t>
      </w:r>
    </w:p>
    <w:p w14:paraId="73057D8A">
      <w:pPr>
        <w:keepNext w:val="0"/>
        <w:keepLines w:val="0"/>
        <w:pageBreakBefore w:val="0"/>
        <w:widowControl w:val="0"/>
        <w:numPr>
          <w:ilvl w:val="0"/>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其它</w:t>
      </w:r>
    </w:p>
    <w:p w14:paraId="59CB087B">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招标文件、补充文件、投标文件及询标答疑纪要、中标通知书、考核办法等作为本合同的附件，与本合同具有同等法律效力。</w:t>
      </w:r>
    </w:p>
    <w:p w14:paraId="07046A8E">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本合同一式伍份，双方各执贰份，另递交一份于代理机构备案，双方签字盖章后生效，违约及其处罚按经济</w:t>
      </w:r>
      <w:r>
        <w:rPr>
          <w:rFonts w:hint="eastAsia" w:ascii="新宋体" w:hAnsi="新宋体" w:eastAsia="新宋体" w:cs="新宋体"/>
          <w:color w:val="auto"/>
          <w:sz w:val="22"/>
          <w:szCs w:val="22"/>
          <w:highlight w:val="none"/>
          <w:lang w:eastAsia="zh-CN"/>
        </w:rPr>
        <w:t>民法典</w:t>
      </w:r>
      <w:r>
        <w:rPr>
          <w:rFonts w:hint="eastAsia" w:ascii="新宋体" w:hAnsi="新宋体" w:eastAsia="新宋体" w:cs="新宋体"/>
          <w:color w:val="auto"/>
          <w:sz w:val="22"/>
          <w:szCs w:val="22"/>
          <w:highlight w:val="none"/>
        </w:rPr>
        <w:t>及本合同有关条款执行。</w:t>
      </w:r>
    </w:p>
    <w:p w14:paraId="68A6626F">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以上协议未尽之处，双方协商解决。</w:t>
      </w:r>
    </w:p>
    <w:p w14:paraId="01BC24E0">
      <w:pPr>
        <w:keepNext w:val="0"/>
        <w:keepLines w:val="0"/>
        <w:pageBreakBefore w:val="0"/>
        <w:widowControl w:val="0"/>
        <w:numPr>
          <w:ilvl w:val="1"/>
          <w:numId w:val="1"/>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甲方将在合同在执行过程中不断完善考核办法，乙方必须无条件接受完善的考核办法，否则甲方有权无条件解除合同。</w:t>
      </w:r>
    </w:p>
    <w:p w14:paraId="3BA41A2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附件1：考核办法</w:t>
      </w:r>
    </w:p>
    <w:p w14:paraId="45D14D1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附件2：月度考核奖惩办法</w:t>
      </w:r>
    </w:p>
    <w:p w14:paraId="1BC240B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color w:val="auto"/>
          <w:sz w:val="22"/>
          <w:szCs w:val="22"/>
          <w:highlight w:val="none"/>
        </w:rPr>
      </w:pPr>
    </w:p>
    <w:p w14:paraId="36B26962">
      <w:pPr>
        <w:keepNext w:val="0"/>
        <w:keepLines w:val="0"/>
        <w:pageBreakBefore w:val="0"/>
        <w:widowControl w:val="0"/>
        <w:tabs>
          <w:tab w:val="left" w:pos="840"/>
        </w:tabs>
        <w:kinsoku/>
        <w:wordWrap/>
        <w:overflowPunct/>
        <w:topLinePunct w:val="0"/>
        <w:autoSpaceDE/>
        <w:autoSpaceDN/>
        <w:bidi w:val="0"/>
        <w:adjustRightInd/>
        <w:snapToGrid/>
        <w:spacing w:line="460" w:lineRule="exact"/>
        <w:ind w:firstLine="454"/>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甲方（公章）：       </w:t>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rPr>
        <w:t>乙方（公章）：</w:t>
      </w:r>
    </w:p>
    <w:p w14:paraId="7759DAA4">
      <w:pPr>
        <w:keepNext w:val="0"/>
        <w:keepLines w:val="0"/>
        <w:pageBreakBefore w:val="0"/>
        <w:widowControl w:val="0"/>
        <w:tabs>
          <w:tab w:val="left" w:pos="840"/>
        </w:tabs>
        <w:kinsoku/>
        <w:wordWrap/>
        <w:overflowPunct/>
        <w:topLinePunct w:val="0"/>
        <w:autoSpaceDE/>
        <w:autoSpaceDN/>
        <w:bidi w:val="0"/>
        <w:adjustRightInd/>
        <w:snapToGrid/>
        <w:spacing w:line="460" w:lineRule="exact"/>
        <w:ind w:firstLine="454"/>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法定代表人或受委托人（签字或盖章）：</w:t>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rPr>
        <w:t>法定代表人或受委托人（签字或盖章）：</w:t>
      </w:r>
    </w:p>
    <w:p w14:paraId="7DAD7EE5">
      <w:pPr>
        <w:keepNext w:val="0"/>
        <w:keepLines w:val="0"/>
        <w:pageBreakBefore w:val="0"/>
        <w:widowControl w:val="0"/>
        <w:tabs>
          <w:tab w:val="left" w:pos="840"/>
        </w:tabs>
        <w:kinsoku/>
        <w:wordWrap/>
        <w:overflowPunct/>
        <w:topLinePunct w:val="0"/>
        <w:autoSpaceDE/>
        <w:autoSpaceDN/>
        <w:bidi w:val="0"/>
        <w:adjustRightInd/>
        <w:spacing w:line="460" w:lineRule="exact"/>
        <w:ind w:firstLine="454"/>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地址：            </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rPr>
        <w:t>地址：</w:t>
      </w:r>
    </w:p>
    <w:p w14:paraId="13DC584F">
      <w:pPr>
        <w:keepNext w:val="0"/>
        <w:keepLines w:val="0"/>
        <w:pageBreakBefore w:val="0"/>
        <w:widowControl w:val="0"/>
        <w:tabs>
          <w:tab w:val="left" w:pos="840"/>
        </w:tabs>
        <w:kinsoku/>
        <w:wordWrap/>
        <w:overflowPunct/>
        <w:topLinePunct w:val="0"/>
        <w:autoSpaceDE/>
        <w:autoSpaceDN/>
        <w:bidi w:val="0"/>
        <w:adjustRightInd/>
        <w:spacing w:line="460" w:lineRule="exact"/>
        <w:ind w:firstLine="454"/>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电话：      </w:t>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rPr>
        <w:t>电话：</w:t>
      </w:r>
    </w:p>
    <w:p w14:paraId="3F61148C">
      <w:pPr>
        <w:keepNext w:val="0"/>
        <w:keepLines w:val="0"/>
        <w:pageBreakBefore w:val="0"/>
        <w:widowControl w:val="0"/>
        <w:tabs>
          <w:tab w:val="left" w:pos="840"/>
        </w:tabs>
        <w:kinsoku/>
        <w:wordWrap/>
        <w:overflowPunct/>
        <w:topLinePunct w:val="0"/>
        <w:autoSpaceDE/>
        <w:autoSpaceDN/>
        <w:bidi w:val="0"/>
        <w:adjustRightInd/>
        <w:snapToGrid/>
        <w:spacing w:line="460" w:lineRule="exact"/>
        <w:ind w:firstLine="0"/>
        <w:textAlignment w:val="auto"/>
        <w:rPr>
          <w:rFonts w:hint="eastAsia" w:ascii="新宋体" w:hAnsi="新宋体" w:eastAsia="新宋体" w:cs="新宋体"/>
          <w:color w:val="auto"/>
          <w:sz w:val="22"/>
          <w:szCs w:val="22"/>
          <w:highlight w:val="none"/>
        </w:rPr>
      </w:pPr>
    </w:p>
    <w:p w14:paraId="71033317">
      <w:pPr>
        <w:keepLines w:val="0"/>
        <w:pageBreakBefore w:val="0"/>
        <w:widowControl w:val="0"/>
        <w:kinsoku/>
        <w:wordWrap/>
        <w:overflowPunct/>
        <w:topLinePunct w:val="0"/>
        <w:autoSpaceDE/>
        <w:autoSpaceDN/>
        <w:bidi w:val="0"/>
        <w:adjustRightInd/>
        <w:snapToGrid/>
        <w:spacing w:line="460" w:lineRule="exact"/>
        <w:ind w:firstLine="0"/>
        <w:jc w:val="both"/>
        <w:textAlignment w:val="auto"/>
        <w:outlineLvl w:val="9"/>
        <w:rPr>
          <w:rFonts w:hint="eastAsia" w:ascii="新宋体" w:hAnsi="新宋体" w:eastAsia="新宋体" w:cs="新宋体"/>
          <w:color w:val="auto"/>
          <w:sz w:val="22"/>
          <w:szCs w:val="22"/>
          <w:highlight w:val="none"/>
        </w:rPr>
      </w:pPr>
    </w:p>
    <w:p w14:paraId="12AB601F">
      <w:pPr>
        <w:keepNext w:val="0"/>
        <w:keepLines w:val="0"/>
        <w:pageBreakBefore w:val="0"/>
        <w:widowControl w:val="0"/>
        <w:tabs>
          <w:tab w:val="left" w:pos="840"/>
        </w:tabs>
        <w:kinsoku/>
        <w:wordWrap/>
        <w:overflowPunct/>
        <w:topLinePunct w:val="0"/>
        <w:autoSpaceDE/>
        <w:autoSpaceDN/>
        <w:bidi w:val="0"/>
        <w:adjustRightInd/>
        <w:snapToGrid/>
        <w:spacing w:line="460" w:lineRule="exact"/>
        <w:ind w:firstLine="0"/>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签约时间：      年   月   日</w:t>
      </w:r>
    </w:p>
    <w:p w14:paraId="0F39CBA4">
      <w:pPr>
        <w:widowControl/>
        <w:spacing w:line="400" w:lineRule="atLeast"/>
        <w:jc w:val="center"/>
        <w:rPr>
          <w:rFonts w:hint="eastAsia" w:ascii="宋体" w:hAnsi="宋体" w:cs="宋体"/>
          <w:b/>
          <w:snapToGrid w:val="0"/>
          <w:color w:val="auto"/>
          <w:kern w:val="0"/>
          <w:sz w:val="24"/>
          <w:highlight w:val="none"/>
          <w:lang w:eastAsia="zh-CN"/>
        </w:rPr>
      </w:pPr>
    </w:p>
    <w:p w14:paraId="5B51FF57">
      <w:pPr>
        <w:rPr>
          <w:rFonts w:hint="eastAsia" w:ascii="宋体" w:hAnsi="宋体" w:cs="宋体"/>
          <w:b/>
          <w:snapToGrid w:val="0"/>
          <w:color w:val="auto"/>
          <w:kern w:val="0"/>
          <w:sz w:val="24"/>
          <w:highlight w:val="none"/>
          <w:lang w:eastAsia="zh-CN"/>
        </w:rPr>
      </w:pPr>
      <w:r>
        <w:rPr>
          <w:rFonts w:hint="eastAsia" w:ascii="宋体" w:hAnsi="宋体" w:cs="宋体"/>
          <w:b/>
          <w:snapToGrid w:val="0"/>
          <w:color w:val="auto"/>
          <w:kern w:val="0"/>
          <w:sz w:val="24"/>
          <w:highlight w:val="none"/>
          <w:lang w:eastAsia="zh-CN"/>
        </w:rPr>
        <w:br w:type="page"/>
      </w:r>
    </w:p>
    <w:p w14:paraId="262BBF12">
      <w:pPr>
        <w:widowControl/>
        <w:spacing w:line="400" w:lineRule="atLeast"/>
        <w:jc w:val="both"/>
        <w:rPr>
          <w:rFonts w:hint="eastAsia" w:ascii="宋体" w:hAnsi="宋体" w:cs="宋体"/>
          <w:b/>
          <w:snapToGrid w:val="0"/>
          <w:color w:val="auto"/>
          <w:kern w:val="0"/>
          <w:sz w:val="24"/>
          <w:highlight w:val="none"/>
          <w:lang w:eastAsia="zh-CN"/>
        </w:rPr>
      </w:pPr>
      <w:r>
        <w:rPr>
          <w:rFonts w:hint="eastAsia" w:ascii="新宋体" w:hAnsi="新宋体" w:eastAsia="新宋体" w:cs="新宋体"/>
          <w:color w:val="auto"/>
          <w:sz w:val="22"/>
          <w:szCs w:val="22"/>
          <w:highlight w:val="none"/>
          <w:lang w:val="en-US" w:eastAsia="zh-CN"/>
        </w:rPr>
        <w:t>附件1：</w:t>
      </w:r>
    </w:p>
    <w:p w14:paraId="4656F472">
      <w:pPr>
        <w:widowControl/>
        <w:spacing w:line="400" w:lineRule="atLeast"/>
        <w:jc w:val="center"/>
        <w:rPr>
          <w:rFonts w:ascii="宋体" w:hAnsi="宋体" w:cs="宋体"/>
          <w:b/>
          <w:snapToGrid w:val="0"/>
          <w:color w:val="auto"/>
          <w:kern w:val="0"/>
          <w:sz w:val="24"/>
          <w:highlight w:val="none"/>
        </w:rPr>
      </w:pPr>
      <w:r>
        <w:rPr>
          <w:rFonts w:hint="eastAsia" w:ascii="宋体" w:hAnsi="宋体" w:cs="宋体"/>
          <w:b/>
          <w:snapToGrid w:val="0"/>
          <w:color w:val="auto"/>
          <w:kern w:val="0"/>
          <w:sz w:val="24"/>
          <w:highlight w:val="none"/>
          <w:lang w:eastAsia="zh-CN"/>
        </w:rPr>
        <w:t>（一）</w:t>
      </w:r>
      <w:r>
        <w:rPr>
          <w:rFonts w:hint="eastAsia" w:ascii="宋体" w:hAnsi="宋体" w:cs="宋体"/>
          <w:b/>
          <w:snapToGrid w:val="0"/>
          <w:color w:val="auto"/>
          <w:kern w:val="0"/>
          <w:sz w:val="24"/>
          <w:highlight w:val="none"/>
        </w:rPr>
        <w:t>考核办法</w:t>
      </w:r>
    </w:p>
    <w:p w14:paraId="48372877">
      <w:pPr>
        <w:keepNext w:val="0"/>
        <w:keepLines w:val="0"/>
        <w:pageBreakBefore w:val="0"/>
        <w:kinsoku/>
        <w:wordWrap/>
        <w:overflowPunct/>
        <w:topLinePunct w:val="0"/>
        <w:autoSpaceDE/>
        <w:autoSpaceDN/>
        <w:bidi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考核评分满分为100分</w:t>
      </w:r>
    </w:p>
    <w:p w14:paraId="6D7C1F61">
      <w:pPr>
        <w:keepNext w:val="0"/>
        <w:keepLines w:val="0"/>
        <w:pageBreakBefore w:val="0"/>
        <w:kinsoku/>
        <w:wordWrap/>
        <w:overflowPunct/>
        <w:topLinePunct w:val="0"/>
        <w:autoSpaceDE/>
        <w:autoSpaceDN/>
        <w:bidi w:val="0"/>
        <w:spacing w:line="460" w:lineRule="exact"/>
        <w:jc w:val="center"/>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kern w:val="0"/>
          <w:sz w:val="22"/>
          <w:szCs w:val="22"/>
          <w:highlight w:val="none"/>
        </w:rPr>
        <w:t>被服洗涤外包</w:t>
      </w:r>
      <w:r>
        <w:rPr>
          <w:rFonts w:hint="eastAsia" w:ascii="新宋体" w:hAnsi="新宋体" w:eastAsia="新宋体" w:cs="新宋体"/>
          <w:b/>
          <w:color w:val="auto"/>
          <w:kern w:val="0"/>
          <w:sz w:val="22"/>
          <w:szCs w:val="22"/>
          <w:highlight w:val="none"/>
          <w:lang w:eastAsia="zh-CN"/>
        </w:rPr>
        <w:t>月</w:t>
      </w:r>
      <w:r>
        <w:rPr>
          <w:rFonts w:hint="eastAsia" w:ascii="新宋体" w:hAnsi="新宋体" w:eastAsia="新宋体" w:cs="新宋体"/>
          <w:b/>
          <w:color w:val="auto"/>
          <w:kern w:val="0"/>
          <w:sz w:val="22"/>
          <w:szCs w:val="22"/>
          <w:highlight w:val="none"/>
        </w:rPr>
        <w:t>度服务考核表</w:t>
      </w:r>
    </w:p>
    <w:tbl>
      <w:tblPr>
        <w:tblStyle w:val="53"/>
        <w:tblW w:w="964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1800"/>
        <w:gridCol w:w="4260"/>
        <w:gridCol w:w="845"/>
        <w:gridCol w:w="1270"/>
        <w:gridCol w:w="810"/>
      </w:tblGrid>
      <w:tr w14:paraId="618AB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662" w:type="dxa"/>
            <w:tcBorders>
              <w:tl2br w:val="nil"/>
              <w:tr2bl w:val="nil"/>
            </w:tcBorders>
            <w:noWrap w:val="0"/>
            <w:vAlign w:val="center"/>
          </w:tcPr>
          <w:p w14:paraId="383E1E6D">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序号</w:t>
            </w:r>
          </w:p>
        </w:tc>
        <w:tc>
          <w:tcPr>
            <w:tcW w:w="1800" w:type="dxa"/>
            <w:tcBorders>
              <w:tl2br w:val="nil"/>
              <w:tr2bl w:val="nil"/>
            </w:tcBorders>
            <w:noWrap/>
            <w:vAlign w:val="center"/>
          </w:tcPr>
          <w:p w14:paraId="075B815E">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测评项目</w:t>
            </w:r>
          </w:p>
        </w:tc>
        <w:tc>
          <w:tcPr>
            <w:tcW w:w="4260" w:type="dxa"/>
            <w:tcBorders>
              <w:tl2br w:val="nil"/>
              <w:tr2bl w:val="nil"/>
            </w:tcBorders>
            <w:noWrap w:val="0"/>
            <w:vAlign w:val="center"/>
          </w:tcPr>
          <w:p w14:paraId="0AD3EA01">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内容</w:t>
            </w:r>
          </w:p>
        </w:tc>
        <w:tc>
          <w:tcPr>
            <w:tcW w:w="845" w:type="dxa"/>
            <w:tcBorders>
              <w:tl2br w:val="nil"/>
              <w:tr2bl w:val="nil"/>
            </w:tcBorders>
            <w:noWrap/>
            <w:vAlign w:val="center"/>
          </w:tcPr>
          <w:p w14:paraId="124B0BC5">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分值</w:t>
            </w:r>
          </w:p>
        </w:tc>
        <w:tc>
          <w:tcPr>
            <w:tcW w:w="1270" w:type="dxa"/>
            <w:tcBorders>
              <w:tl2br w:val="nil"/>
              <w:tr2bl w:val="nil"/>
            </w:tcBorders>
            <w:noWrap/>
            <w:vAlign w:val="center"/>
          </w:tcPr>
          <w:p w14:paraId="20C98322">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扣分原因</w:t>
            </w:r>
          </w:p>
        </w:tc>
        <w:tc>
          <w:tcPr>
            <w:tcW w:w="810" w:type="dxa"/>
            <w:tcBorders>
              <w:tl2br w:val="nil"/>
              <w:tr2bl w:val="nil"/>
            </w:tcBorders>
            <w:noWrap/>
            <w:vAlign w:val="center"/>
          </w:tcPr>
          <w:p w14:paraId="35AD95D8">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扣分</w:t>
            </w:r>
          </w:p>
        </w:tc>
      </w:tr>
      <w:tr w14:paraId="717F0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62" w:type="dxa"/>
            <w:tcBorders>
              <w:tl2br w:val="nil"/>
              <w:tr2bl w:val="nil"/>
            </w:tcBorders>
            <w:noWrap w:val="0"/>
            <w:vAlign w:val="center"/>
          </w:tcPr>
          <w:p w14:paraId="2F77E1B0">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w:t>
            </w:r>
          </w:p>
        </w:tc>
        <w:tc>
          <w:tcPr>
            <w:tcW w:w="1800" w:type="dxa"/>
            <w:vMerge w:val="restart"/>
            <w:tcBorders>
              <w:tl2br w:val="nil"/>
              <w:tr2bl w:val="nil"/>
            </w:tcBorders>
            <w:noWrap/>
            <w:vAlign w:val="center"/>
          </w:tcPr>
          <w:p w14:paraId="0018619E">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综合评价（</w:t>
            </w:r>
            <w:r>
              <w:rPr>
                <w:rFonts w:hint="eastAsia" w:ascii="新宋体" w:hAnsi="新宋体" w:eastAsia="新宋体" w:cs="新宋体"/>
                <w:color w:val="auto"/>
                <w:kern w:val="0"/>
                <w:sz w:val="22"/>
                <w:szCs w:val="22"/>
                <w:highlight w:val="none"/>
                <w:lang w:val="en-US" w:eastAsia="zh-CN"/>
              </w:rPr>
              <w:t>8</w:t>
            </w:r>
            <w:r>
              <w:rPr>
                <w:rFonts w:hint="eastAsia" w:ascii="新宋体" w:hAnsi="新宋体" w:eastAsia="新宋体" w:cs="新宋体"/>
                <w:color w:val="auto"/>
                <w:kern w:val="0"/>
                <w:sz w:val="22"/>
                <w:szCs w:val="22"/>
                <w:highlight w:val="none"/>
              </w:rPr>
              <w:t>分）</w:t>
            </w:r>
          </w:p>
        </w:tc>
        <w:tc>
          <w:tcPr>
            <w:tcW w:w="4260" w:type="dxa"/>
            <w:tcBorders>
              <w:tl2br w:val="nil"/>
              <w:tr2bl w:val="nil"/>
            </w:tcBorders>
            <w:noWrap w:val="0"/>
            <w:vAlign w:val="center"/>
          </w:tcPr>
          <w:p w14:paraId="33DD0B8D">
            <w:pPr>
              <w:keepNext w:val="0"/>
              <w:keepLines w:val="0"/>
              <w:pageBreakBefore w:val="0"/>
              <w:widowControl/>
              <w:tabs>
                <w:tab w:val="left" w:pos="303"/>
              </w:tabs>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未按工作流程执行布草的收发，一次扣</w:t>
            </w: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rPr>
              <w:t>分。</w:t>
            </w:r>
          </w:p>
        </w:tc>
        <w:tc>
          <w:tcPr>
            <w:tcW w:w="845" w:type="dxa"/>
            <w:tcBorders>
              <w:tl2br w:val="nil"/>
              <w:tr2bl w:val="nil"/>
            </w:tcBorders>
            <w:noWrap/>
            <w:vAlign w:val="center"/>
          </w:tcPr>
          <w:p w14:paraId="7801BAC1">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3</w:t>
            </w:r>
            <w:r>
              <w:rPr>
                <w:rFonts w:hint="eastAsia" w:ascii="新宋体" w:hAnsi="新宋体" w:eastAsia="新宋体" w:cs="新宋体"/>
                <w:color w:val="auto"/>
                <w:kern w:val="0"/>
                <w:sz w:val="22"/>
                <w:szCs w:val="22"/>
                <w:highlight w:val="none"/>
              </w:rPr>
              <w:t>分</w:t>
            </w:r>
          </w:p>
          <w:p w14:paraId="46EC31A6">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p>
        </w:tc>
        <w:tc>
          <w:tcPr>
            <w:tcW w:w="1270" w:type="dxa"/>
            <w:tcBorders>
              <w:tl2br w:val="nil"/>
              <w:tr2bl w:val="nil"/>
            </w:tcBorders>
            <w:noWrap/>
            <w:vAlign w:val="center"/>
          </w:tcPr>
          <w:p w14:paraId="16F67A9D">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p w14:paraId="18BCF7CC">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810" w:type="dxa"/>
            <w:tcBorders>
              <w:tl2br w:val="nil"/>
              <w:tr2bl w:val="nil"/>
            </w:tcBorders>
            <w:noWrap/>
            <w:vAlign w:val="center"/>
          </w:tcPr>
          <w:p w14:paraId="740936D3">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p w14:paraId="4DFFE3E9">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r>
      <w:tr w14:paraId="1A773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662" w:type="dxa"/>
            <w:tcBorders>
              <w:tl2br w:val="nil"/>
              <w:tr2bl w:val="nil"/>
            </w:tcBorders>
            <w:noWrap w:val="0"/>
            <w:vAlign w:val="center"/>
          </w:tcPr>
          <w:p w14:paraId="4671D80E">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2</w:t>
            </w:r>
          </w:p>
        </w:tc>
        <w:tc>
          <w:tcPr>
            <w:tcW w:w="1800" w:type="dxa"/>
            <w:vMerge w:val="continue"/>
            <w:tcBorders>
              <w:tl2br w:val="nil"/>
              <w:tr2bl w:val="nil"/>
            </w:tcBorders>
            <w:noWrap/>
            <w:vAlign w:val="center"/>
          </w:tcPr>
          <w:p w14:paraId="0D326F55">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p>
        </w:tc>
        <w:tc>
          <w:tcPr>
            <w:tcW w:w="4260" w:type="dxa"/>
            <w:tcBorders>
              <w:tl2br w:val="nil"/>
              <w:tr2bl w:val="nil"/>
            </w:tcBorders>
            <w:noWrap w:val="0"/>
            <w:vAlign w:val="center"/>
          </w:tcPr>
          <w:p w14:paraId="5E016389">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洗涤公司工作人员配送期间与采购人的工作人员或患者发生争吵，发现一次扣2分，情节严重，造成严重影响扣5分。</w:t>
            </w:r>
          </w:p>
        </w:tc>
        <w:tc>
          <w:tcPr>
            <w:tcW w:w="845" w:type="dxa"/>
            <w:tcBorders>
              <w:tl2br w:val="nil"/>
              <w:tr2bl w:val="nil"/>
            </w:tcBorders>
            <w:noWrap/>
            <w:vAlign w:val="center"/>
          </w:tcPr>
          <w:p w14:paraId="5EEAF970">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5分</w:t>
            </w:r>
          </w:p>
        </w:tc>
        <w:tc>
          <w:tcPr>
            <w:tcW w:w="1270" w:type="dxa"/>
            <w:tcBorders>
              <w:tl2br w:val="nil"/>
              <w:tr2bl w:val="nil"/>
            </w:tcBorders>
            <w:noWrap/>
            <w:vAlign w:val="center"/>
          </w:tcPr>
          <w:p w14:paraId="41E051AC">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810" w:type="dxa"/>
            <w:tcBorders>
              <w:tl2br w:val="nil"/>
              <w:tr2bl w:val="nil"/>
            </w:tcBorders>
            <w:noWrap/>
            <w:vAlign w:val="center"/>
          </w:tcPr>
          <w:p w14:paraId="264CF317">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r>
      <w:tr w14:paraId="5E20C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62" w:type="dxa"/>
            <w:tcBorders>
              <w:tl2br w:val="nil"/>
              <w:tr2bl w:val="nil"/>
            </w:tcBorders>
            <w:noWrap w:val="0"/>
            <w:vAlign w:val="center"/>
          </w:tcPr>
          <w:p w14:paraId="4EF1739E">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3</w:t>
            </w:r>
          </w:p>
        </w:tc>
        <w:tc>
          <w:tcPr>
            <w:tcW w:w="1800" w:type="dxa"/>
            <w:tcBorders>
              <w:tl2br w:val="nil"/>
              <w:tr2bl w:val="nil"/>
            </w:tcBorders>
            <w:noWrap/>
            <w:vAlign w:val="center"/>
          </w:tcPr>
          <w:p w14:paraId="0D13FD78">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满意度（30分）</w:t>
            </w:r>
          </w:p>
        </w:tc>
        <w:tc>
          <w:tcPr>
            <w:tcW w:w="4260" w:type="dxa"/>
            <w:tcBorders>
              <w:tl2br w:val="nil"/>
              <w:tr2bl w:val="nil"/>
            </w:tcBorders>
            <w:noWrap w:val="0"/>
            <w:vAlign w:val="center"/>
          </w:tcPr>
          <w:p w14:paraId="099449C1">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医务人员+患者满意度</w:t>
            </w:r>
          </w:p>
        </w:tc>
        <w:tc>
          <w:tcPr>
            <w:tcW w:w="845" w:type="dxa"/>
            <w:tcBorders>
              <w:tl2br w:val="nil"/>
              <w:tr2bl w:val="nil"/>
            </w:tcBorders>
            <w:noWrap/>
            <w:vAlign w:val="center"/>
          </w:tcPr>
          <w:p w14:paraId="6B010EC2">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30分</w:t>
            </w:r>
          </w:p>
        </w:tc>
        <w:tc>
          <w:tcPr>
            <w:tcW w:w="1270" w:type="dxa"/>
            <w:tcBorders>
              <w:tl2br w:val="nil"/>
              <w:tr2bl w:val="nil"/>
            </w:tcBorders>
            <w:noWrap/>
            <w:vAlign w:val="center"/>
          </w:tcPr>
          <w:p w14:paraId="74A17E63">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810" w:type="dxa"/>
            <w:tcBorders>
              <w:tl2br w:val="nil"/>
              <w:tr2bl w:val="nil"/>
            </w:tcBorders>
            <w:noWrap/>
            <w:vAlign w:val="center"/>
          </w:tcPr>
          <w:p w14:paraId="3FA6ED75">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r>
      <w:tr w14:paraId="75916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662" w:type="dxa"/>
            <w:tcBorders>
              <w:tl2br w:val="nil"/>
              <w:tr2bl w:val="nil"/>
            </w:tcBorders>
            <w:noWrap w:val="0"/>
            <w:vAlign w:val="center"/>
          </w:tcPr>
          <w:p w14:paraId="0B80C2D4">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4</w:t>
            </w:r>
          </w:p>
        </w:tc>
        <w:tc>
          <w:tcPr>
            <w:tcW w:w="1800" w:type="dxa"/>
            <w:vMerge w:val="restart"/>
            <w:tcBorders>
              <w:tl2br w:val="nil"/>
              <w:tr2bl w:val="nil"/>
            </w:tcBorders>
            <w:noWrap/>
            <w:vAlign w:val="center"/>
          </w:tcPr>
          <w:p w14:paraId="24BBC796">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洗涤公司操作</w:t>
            </w:r>
            <w:r>
              <w:rPr>
                <w:rFonts w:hint="eastAsia" w:ascii="新宋体" w:hAnsi="新宋体" w:eastAsia="新宋体" w:cs="新宋体"/>
                <w:color w:val="auto"/>
                <w:kern w:val="0"/>
                <w:sz w:val="22"/>
                <w:szCs w:val="22"/>
                <w:highlight w:val="none"/>
                <w:lang w:eastAsia="zh-CN"/>
              </w:rPr>
              <w:t>及服务</w:t>
            </w:r>
            <w:r>
              <w:rPr>
                <w:rFonts w:hint="eastAsia" w:ascii="新宋体" w:hAnsi="新宋体" w:eastAsia="新宋体" w:cs="新宋体"/>
                <w:color w:val="auto"/>
                <w:kern w:val="0"/>
                <w:sz w:val="22"/>
                <w:szCs w:val="22"/>
                <w:highlight w:val="none"/>
              </w:rPr>
              <w:t>检查（5</w:t>
            </w:r>
            <w:r>
              <w:rPr>
                <w:rFonts w:hint="eastAsia" w:ascii="新宋体" w:hAnsi="新宋体" w:eastAsia="新宋体" w:cs="新宋体"/>
                <w:color w:val="auto"/>
                <w:kern w:val="0"/>
                <w:sz w:val="22"/>
                <w:szCs w:val="22"/>
                <w:highlight w:val="none"/>
                <w:lang w:val="en-US" w:eastAsia="zh-CN"/>
              </w:rPr>
              <w:t>2</w:t>
            </w:r>
            <w:r>
              <w:rPr>
                <w:rFonts w:hint="eastAsia" w:ascii="新宋体" w:hAnsi="新宋体" w:eastAsia="新宋体" w:cs="新宋体"/>
                <w:color w:val="auto"/>
                <w:kern w:val="0"/>
                <w:sz w:val="22"/>
                <w:szCs w:val="22"/>
                <w:highlight w:val="none"/>
              </w:rPr>
              <w:t>分）</w:t>
            </w:r>
          </w:p>
        </w:tc>
        <w:tc>
          <w:tcPr>
            <w:tcW w:w="4260" w:type="dxa"/>
            <w:tcBorders>
              <w:tl2br w:val="nil"/>
              <w:tr2bl w:val="nil"/>
            </w:tcBorders>
            <w:noWrap w:val="0"/>
            <w:vAlign w:val="center"/>
          </w:tcPr>
          <w:p w14:paraId="7FBB2F88">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送回布草未烘干、熨烫不平的，每发现一次扣</w:t>
            </w: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rPr>
              <w:t>分。</w:t>
            </w:r>
          </w:p>
        </w:tc>
        <w:tc>
          <w:tcPr>
            <w:tcW w:w="845" w:type="dxa"/>
            <w:tcBorders>
              <w:tl2br w:val="nil"/>
              <w:tr2bl w:val="nil"/>
            </w:tcBorders>
            <w:noWrap/>
            <w:vAlign w:val="center"/>
          </w:tcPr>
          <w:p w14:paraId="21002827">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3分</w:t>
            </w:r>
          </w:p>
        </w:tc>
        <w:tc>
          <w:tcPr>
            <w:tcW w:w="1270" w:type="dxa"/>
            <w:tcBorders>
              <w:tl2br w:val="nil"/>
              <w:tr2bl w:val="nil"/>
            </w:tcBorders>
            <w:noWrap/>
            <w:vAlign w:val="center"/>
          </w:tcPr>
          <w:p w14:paraId="2022B99F">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p>
        </w:tc>
        <w:tc>
          <w:tcPr>
            <w:tcW w:w="810" w:type="dxa"/>
            <w:tcBorders>
              <w:tl2br w:val="nil"/>
              <w:tr2bl w:val="nil"/>
            </w:tcBorders>
            <w:noWrap/>
            <w:vAlign w:val="center"/>
          </w:tcPr>
          <w:p w14:paraId="43FA0CD2">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p>
        </w:tc>
      </w:tr>
      <w:tr w14:paraId="28D45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662" w:type="dxa"/>
            <w:tcBorders>
              <w:tl2br w:val="nil"/>
              <w:tr2bl w:val="nil"/>
            </w:tcBorders>
            <w:noWrap w:val="0"/>
            <w:vAlign w:val="center"/>
          </w:tcPr>
          <w:p w14:paraId="1E1C15AB">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5</w:t>
            </w:r>
          </w:p>
        </w:tc>
        <w:tc>
          <w:tcPr>
            <w:tcW w:w="1800" w:type="dxa"/>
            <w:vMerge w:val="continue"/>
            <w:tcBorders>
              <w:tl2br w:val="nil"/>
              <w:tr2bl w:val="nil"/>
            </w:tcBorders>
            <w:noWrap/>
            <w:vAlign w:val="center"/>
          </w:tcPr>
          <w:p w14:paraId="09195B28">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p>
        </w:tc>
        <w:tc>
          <w:tcPr>
            <w:tcW w:w="4260" w:type="dxa"/>
            <w:tcBorders>
              <w:tl2br w:val="nil"/>
              <w:tr2bl w:val="nil"/>
            </w:tcBorders>
            <w:noWrap w:val="0"/>
            <w:vAlign w:val="center"/>
          </w:tcPr>
          <w:p w14:paraId="74560BDA">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洗涤公司未按医院感染管理要求设置工作场所，发现一处扣1分</w:t>
            </w:r>
          </w:p>
        </w:tc>
        <w:tc>
          <w:tcPr>
            <w:tcW w:w="845" w:type="dxa"/>
            <w:tcBorders>
              <w:tl2br w:val="nil"/>
              <w:tr2bl w:val="nil"/>
            </w:tcBorders>
            <w:noWrap/>
            <w:vAlign w:val="center"/>
          </w:tcPr>
          <w:p w14:paraId="5C231529">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2分</w:t>
            </w:r>
          </w:p>
        </w:tc>
        <w:tc>
          <w:tcPr>
            <w:tcW w:w="1270" w:type="dxa"/>
            <w:tcBorders>
              <w:tl2br w:val="nil"/>
              <w:tr2bl w:val="nil"/>
            </w:tcBorders>
            <w:noWrap/>
            <w:vAlign w:val="center"/>
          </w:tcPr>
          <w:p w14:paraId="3370E5CF">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810" w:type="dxa"/>
            <w:tcBorders>
              <w:tl2br w:val="nil"/>
              <w:tr2bl w:val="nil"/>
            </w:tcBorders>
            <w:noWrap/>
            <w:vAlign w:val="center"/>
          </w:tcPr>
          <w:p w14:paraId="140A49E5">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r>
      <w:tr w14:paraId="508F3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662" w:type="dxa"/>
            <w:tcBorders>
              <w:tl2br w:val="nil"/>
              <w:tr2bl w:val="nil"/>
            </w:tcBorders>
            <w:noWrap w:val="0"/>
            <w:vAlign w:val="center"/>
          </w:tcPr>
          <w:p w14:paraId="090A76E8">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6</w:t>
            </w:r>
          </w:p>
        </w:tc>
        <w:tc>
          <w:tcPr>
            <w:tcW w:w="1800" w:type="dxa"/>
            <w:vMerge w:val="continue"/>
            <w:tcBorders>
              <w:tl2br w:val="nil"/>
              <w:tr2bl w:val="nil"/>
            </w:tcBorders>
            <w:noWrap w:val="0"/>
            <w:vAlign w:val="center"/>
          </w:tcPr>
          <w:p w14:paraId="052C1370">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p>
        </w:tc>
        <w:tc>
          <w:tcPr>
            <w:tcW w:w="4260" w:type="dxa"/>
            <w:tcBorders>
              <w:tl2br w:val="nil"/>
              <w:tr2bl w:val="nil"/>
            </w:tcBorders>
            <w:noWrap w:val="0"/>
            <w:vAlign w:val="center"/>
          </w:tcPr>
          <w:p w14:paraId="5E30AA18">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使用后医用织物与清洁物未分开运送。运送车辆清洁、消毒不及时。发现一处扣1分</w:t>
            </w:r>
          </w:p>
        </w:tc>
        <w:tc>
          <w:tcPr>
            <w:tcW w:w="845" w:type="dxa"/>
            <w:tcBorders>
              <w:tl2br w:val="nil"/>
              <w:tr2bl w:val="nil"/>
            </w:tcBorders>
            <w:noWrap/>
            <w:vAlign w:val="center"/>
          </w:tcPr>
          <w:p w14:paraId="04B73A25">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2分</w:t>
            </w:r>
          </w:p>
        </w:tc>
        <w:tc>
          <w:tcPr>
            <w:tcW w:w="1270" w:type="dxa"/>
            <w:tcBorders>
              <w:tl2br w:val="nil"/>
              <w:tr2bl w:val="nil"/>
            </w:tcBorders>
            <w:noWrap/>
            <w:vAlign w:val="center"/>
          </w:tcPr>
          <w:p w14:paraId="49B179A9">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810" w:type="dxa"/>
            <w:tcBorders>
              <w:tl2br w:val="nil"/>
              <w:tr2bl w:val="nil"/>
            </w:tcBorders>
            <w:noWrap/>
            <w:vAlign w:val="center"/>
          </w:tcPr>
          <w:p w14:paraId="37B1C0FD">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r>
      <w:tr w14:paraId="1EBA1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662" w:type="dxa"/>
            <w:tcBorders>
              <w:tl2br w:val="nil"/>
              <w:tr2bl w:val="nil"/>
            </w:tcBorders>
            <w:noWrap w:val="0"/>
            <w:vAlign w:val="center"/>
          </w:tcPr>
          <w:p w14:paraId="7A15A4E1">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7</w:t>
            </w:r>
          </w:p>
        </w:tc>
        <w:tc>
          <w:tcPr>
            <w:tcW w:w="1800" w:type="dxa"/>
            <w:vMerge w:val="continue"/>
            <w:tcBorders>
              <w:tl2br w:val="nil"/>
              <w:tr2bl w:val="nil"/>
            </w:tcBorders>
            <w:noWrap w:val="0"/>
            <w:vAlign w:val="center"/>
          </w:tcPr>
          <w:p w14:paraId="346CE8D3">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p>
        </w:tc>
        <w:tc>
          <w:tcPr>
            <w:tcW w:w="4260" w:type="dxa"/>
            <w:tcBorders>
              <w:tl2br w:val="nil"/>
              <w:tr2bl w:val="nil"/>
            </w:tcBorders>
            <w:noWrap w:val="0"/>
            <w:vAlign w:val="center"/>
          </w:tcPr>
          <w:p w14:paraId="6AE1B705">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被服用专用包装袋包装，未按要求提供感染类被服包装袋与其他被服包装袋，发现一处扣1分</w:t>
            </w:r>
          </w:p>
        </w:tc>
        <w:tc>
          <w:tcPr>
            <w:tcW w:w="845" w:type="dxa"/>
            <w:tcBorders>
              <w:tl2br w:val="nil"/>
              <w:tr2bl w:val="nil"/>
            </w:tcBorders>
            <w:noWrap/>
            <w:vAlign w:val="center"/>
          </w:tcPr>
          <w:p w14:paraId="67E19962">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2分</w:t>
            </w:r>
          </w:p>
        </w:tc>
        <w:tc>
          <w:tcPr>
            <w:tcW w:w="1270" w:type="dxa"/>
            <w:tcBorders>
              <w:tl2br w:val="nil"/>
              <w:tr2bl w:val="nil"/>
            </w:tcBorders>
            <w:noWrap/>
            <w:vAlign w:val="center"/>
          </w:tcPr>
          <w:p w14:paraId="125F37ED">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810" w:type="dxa"/>
            <w:tcBorders>
              <w:tl2br w:val="nil"/>
              <w:tr2bl w:val="nil"/>
            </w:tcBorders>
            <w:noWrap/>
            <w:vAlign w:val="center"/>
          </w:tcPr>
          <w:p w14:paraId="419ABFF1">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r>
      <w:tr w14:paraId="101E4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662" w:type="dxa"/>
            <w:tcBorders>
              <w:tl2br w:val="nil"/>
              <w:tr2bl w:val="nil"/>
            </w:tcBorders>
            <w:noWrap w:val="0"/>
            <w:vAlign w:val="center"/>
          </w:tcPr>
          <w:p w14:paraId="1991B727">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8</w:t>
            </w:r>
          </w:p>
        </w:tc>
        <w:tc>
          <w:tcPr>
            <w:tcW w:w="1800" w:type="dxa"/>
            <w:vMerge w:val="continue"/>
            <w:tcBorders>
              <w:tl2br w:val="nil"/>
              <w:tr2bl w:val="nil"/>
            </w:tcBorders>
            <w:noWrap w:val="0"/>
            <w:vAlign w:val="center"/>
          </w:tcPr>
          <w:p w14:paraId="7755DAA2">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p>
        </w:tc>
        <w:tc>
          <w:tcPr>
            <w:tcW w:w="4260" w:type="dxa"/>
            <w:tcBorders>
              <w:tl2br w:val="nil"/>
              <w:tr2bl w:val="nil"/>
            </w:tcBorders>
            <w:noWrap w:val="0"/>
            <w:vAlign w:val="center"/>
          </w:tcPr>
          <w:p w14:paraId="6520236F">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洗涤公司未按要求及时收送，发现一次扣1次</w:t>
            </w:r>
          </w:p>
        </w:tc>
        <w:tc>
          <w:tcPr>
            <w:tcW w:w="845" w:type="dxa"/>
            <w:tcBorders>
              <w:tl2br w:val="nil"/>
              <w:tr2bl w:val="nil"/>
            </w:tcBorders>
            <w:noWrap/>
            <w:vAlign w:val="center"/>
          </w:tcPr>
          <w:p w14:paraId="32223533">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2分</w:t>
            </w:r>
          </w:p>
        </w:tc>
        <w:tc>
          <w:tcPr>
            <w:tcW w:w="1270" w:type="dxa"/>
            <w:tcBorders>
              <w:tl2br w:val="nil"/>
              <w:tr2bl w:val="nil"/>
            </w:tcBorders>
            <w:noWrap/>
            <w:vAlign w:val="center"/>
          </w:tcPr>
          <w:p w14:paraId="1EBB6E0E">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810" w:type="dxa"/>
            <w:tcBorders>
              <w:tl2br w:val="nil"/>
              <w:tr2bl w:val="nil"/>
            </w:tcBorders>
            <w:noWrap/>
            <w:vAlign w:val="center"/>
          </w:tcPr>
          <w:p w14:paraId="13CF8629">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r>
      <w:tr w14:paraId="37FB2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662" w:type="dxa"/>
            <w:tcBorders>
              <w:tl2br w:val="nil"/>
              <w:tr2bl w:val="nil"/>
            </w:tcBorders>
            <w:noWrap w:val="0"/>
            <w:vAlign w:val="center"/>
          </w:tcPr>
          <w:p w14:paraId="3CD61FF1">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9</w:t>
            </w:r>
          </w:p>
        </w:tc>
        <w:tc>
          <w:tcPr>
            <w:tcW w:w="1800" w:type="dxa"/>
            <w:vMerge w:val="continue"/>
            <w:tcBorders>
              <w:tl2br w:val="nil"/>
              <w:tr2bl w:val="nil"/>
            </w:tcBorders>
            <w:noWrap w:val="0"/>
            <w:vAlign w:val="center"/>
          </w:tcPr>
          <w:p w14:paraId="207AACA7">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p>
        </w:tc>
        <w:tc>
          <w:tcPr>
            <w:tcW w:w="4260" w:type="dxa"/>
            <w:tcBorders>
              <w:tl2br w:val="nil"/>
              <w:tr2bl w:val="nil"/>
            </w:tcBorders>
            <w:noWrap w:val="0"/>
            <w:vAlign w:val="center"/>
          </w:tcPr>
          <w:p w14:paraId="30A1D20F">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收送清点过程中发现任何问题未及时反馈，未按要求交接签字。发现一次扣0.5分</w:t>
            </w:r>
          </w:p>
        </w:tc>
        <w:tc>
          <w:tcPr>
            <w:tcW w:w="845" w:type="dxa"/>
            <w:tcBorders>
              <w:tl2br w:val="nil"/>
              <w:tr2bl w:val="nil"/>
            </w:tcBorders>
            <w:noWrap/>
            <w:vAlign w:val="center"/>
          </w:tcPr>
          <w:p w14:paraId="2BB848EB">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2分</w:t>
            </w:r>
          </w:p>
        </w:tc>
        <w:tc>
          <w:tcPr>
            <w:tcW w:w="1270" w:type="dxa"/>
            <w:tcBorders>
              <w:tl2br w:val="nil"/>
              <w:tr2bl w:val="nil"/>
            </w:tcBorders>
            <w:noWrap/>
            <w:vAlign w:val="center"/>
          </w:tcPr>
          <w:p w14:paraId="1A5B71DA">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810" w:type="dxa"/>
            <w:tcBorders>
              <w:tl2br w:val="nil"/>
              <w:tr2bl w:val="nil"/>
            </w:tcBorders>
            <w:noWrap/>
            <w:vAlign w:val="center"/>
          </w:tcPr>
          <w:p w14:paraId="313E7EED">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r>
      <w:tr w14:paraId="7BB5D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662" w:type="dxa"/>
            <w:tcBorders>
              <w:tl2br w:val="nil"/>
              <w:tr2bl w:val="nil"/>
            </w:tcBorders>
            <w:noWrap w:val="0"/>
            <w:vAlign w:val="center"/>
          </w:tcPr>
          <w:p w14:paraId="3EDDF603">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1</w:t>
            </w:r>
            <w:r>
              <w:rPr>
                <w:rFonts w:hint="eastAsia" w:ascii="新宋体" w:hAnsi="新宋体" w:eastAsia="新宋体" w:cs="新宋体"/>
                <w:color w:val="auto"/>
                <w:kern w:val="0"/>
                <w:sz w:val="22"/>
                <w:szCs w:val="22"/>
                <w:highlight w:val="none"/>
                <w:lang w:val="en-US" w:eastAsia="zh-CN"/>
              </w:rPr>
              <w:t>0</w:t>
            </w:r>
          </w:p>
        </w:tc>
        <w:tc>
          <w:tcPr>
            <w:tcW w:w="1800" w:type="dxa"/>
            <w:vMerge w:val="continue"/>
            <w:tcBorders>
              <w:tl2br w:val="nil"/>
              <w:tr2bl w:val="nil"/>
            </w:tcBorders>
            <w:noWrap w:val="0"/>
            <w:vAlign w:val="center"/>
          </w:tcPr>
          <w:p w14:paraId="692C4AD7">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p>
        </w:tc>
        <w:tc>
          <w:tcPr>
            <w:tcW w:w="4260" w:type="dxa"/>
            <w:tcBorders>
              <w:tl2br w:val="nil"/>
              <w:tr2bl w:val="nil"/>
            </w:tcBorders>
            <w:noWrap w:val="0"/>
            <w:vAlign w:val="center"/>
          </w:tcPr>
          <w:p w14:paraId="335AC279">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各类医用被服未进行分检直接洗涤、消毒，发现一次扣1分</w:t>
            </w:r>
          </w:p>
        </w:tc>
        <w:tc>
          <w:tcPr>
            <w:tcW w:w="845" w:type="dxa"/>
            <w:tcBorders>
              <w:tl2br w:val="nil"/>
              <w:tr2bl w:val="nil"/>
            </w:tcBorders>
            <w:noWrap/>
            <w:vAlign w:val="center"/>
          </w:tcPr>
          <w:p w14:paraId="6B0ADCB4">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2分</w:t>
            </w:r>
          </w:p>
        </w:tc>
        <w:tc>
          <w:tcPr>
            <w:tcW w:w="1270" w:type="dxa"/>
            <w:tcBorders>
              <w:tl2br w:val="nil"/>
              <w:tr2bl w:val="nil"/>
            </w:tcBorders>
            <w:noWrap/>
            <w:vAlign w:val="center"/>
          </w:tcPr>
          <w:p w14:paraId="58AE49D4">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810" w:type="dxa"/>
            <w:tcBorders>
              <w:tl2br w:val="nil"/>
              <w:tr2bl w:val="nil"/>
            </w:tcBorders>
            <w:noWrap/>
            <w:vAlign w:val="center"/>
          </w:tcPr>
          <w:p w14:paraId="794335B1">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r>
      <w:tr w14:paraId="37BDE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662" w:type="dxa"/>
            <w:tcBorders>
              <w:tl2br w:val="nil"/>
              <w:tr2bl w:val="nil"/>
            </w:tcBorders>
            <w:noWrap w:val="0"/>
            <w:vAlign w:val="center"/>
          </w:tcPr>
          <w:p w14:paraId="36573BCE">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1</w:t>
            </w:r>
            <w:r>
              <w:rPr>
                <w:rFonts w:hint="eastAsia" w:ascii="新宋体" w:hAnsi="新宋体" w:eastAsia="新宋体" w:cs="新宋体"/>
                <w:color w:val="auto"/>
                <w:kern w:val="0"/>
                <w:sz w:val="22"/>
                <w:szCs w:val="22"/>
                <w:highlight w:val="none"/>
                <w:lang w:val="en-US" w:eastAsia="zh-CN"/>
              </w:rPr>
              <w:t>1</w:t>
            </w:r>
          </w:p>
        </w:tc>
        <w:tc>
          <w:tcPr>
            <w:tcW w:w="1800" w:type="dxa"/>
            <w:vMerge w:val="continue"/>
            <w:tcBorders>
              <w:tl2br w:val="nil"/>
              <w:tr2bl w:val="nil"/>
            </w:tcBorders>
            <w:noWrap w:val="0"/>
            <w:vAlign w:val="center"/>
          </w:tcPr>
          <w:p w14:paraId="1801C3EA">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p>
        </w:tc>
        <w:tc>
          <w:tcPr>
            <w:tcW w:w="4260" w:type="dxa"/>
            <w:tcBorders>
              <w:tl2br w:val="nil"/>
              <w:tr2bl w:val="nil"/>
            </w:tcBorders>
            <w:noWrap w:val="0"/>
            <w:vAlign w:val="center"/>
          </w:tcPr>
          <w:p w14:paraId="591CFA74">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混杂其他医院布草清洗，每发现一次扣5分。</w:t>
            </w:r>
          </w:p>
        </w:tc>
        <w:tc>
          <w:tcPr>
            <w:tcW w:w="845" w:type="dxa"/>
            <w:tcBorders>
              <w:tl2br w:val="nil"/>
              <w:tr2bl w:val="nil"/>
            </w:tcBorders>
            <w:noWrap/>
            <w:vAlign w:val="center"/>
          </w:tcPr>
          <w:p w14:paraId="253C4E0F">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5</w:t>
            </w:r>
            <w:r>
              <w:rPr>
                <w:rFonts w:hint="eastAsia" w:ascii="新宋体" w:hAnsi="新宋体" w:eastAsia="新宋体" w:cs="新宋体"/>
                <w:color w:val="auto"/>
                <w:kern w:val="0"/>
                <w:sz w:val="22"/>
                <w:szCs w:val="22"/>
                <w:highlight w:val="none"/>
              </w:rPr>
              <w:t>分</w:t>
            </w:r>
          </w:p>
        </w:tc>
        <w:tc>
          <w:tcPr>
            <w:tcW w:w="1270" w:type="dxa"/>
            <w:tcBorders>
              <w:tl2br w:val="nil"/>
              <w:tr2bl w:val="nil"/>
            </w:tcBorders>
            <w:noWrap/>
            <w:vAlign w:val="center"/>
          </w:tcPr>
          <w:p w14:paraId="5A312778">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810" w:type="dxa"/>
            <w:tcBorders>
              <w:tl2br w:val="nil"/>
              <w:tr2bl w:val="nil"/>
            </w:tcBorders>
            <w:noWrap/>
            <w:vAlign w:val="center"/>
          </w:tcPr>
          <w:p w14:paraId="15E8A3F6">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r>
      <w:tr w14:paraId="03BA9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662" w:type="dxa"/>
            <w:tcBorders>
              <w:tl2br w:val="nil"/>
              <w:tr2bl w:val="nil"/>
            </w:tcBorders>
            <w:noWrap w:val="0"/>
            <w:vAlign w:val="center"/>
          </w:tcPr>
          <w:p w14:paraId="48FB372C">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1</w:t>
            </w:r>
            <w:r>
              <w:rPr>
                <w:rFonts w:hint="eastAsia" w:ascii="新宋体" w:hAnsi="新宋体" w:eastAsia="新宋体" w:cs="新宋体"/>
                <w:color w:val="auto"/>
                <w:kern w:val="0"/>
                <w:sz w:val="22"/>
                <w:szCs w:val="22"/>
                <w:highlight w:val="none"/>
                <w:lang w:val="en-US" w:eastAsia="zh-CN"/>
              </w:rPr>
              <w:t>2</w:t>
            </w:r>
          </w:p>
        </w:tc>
        <w:tc>
          <w:tcPr>
            <w:tcW w:w="1800" w:type="dxa"/>
            <w:vMerge w:val="continue"/>
            <w:tcBorders>
              <w:tl2br w:val="nil"/>
              <w:tr2bl w:val="nil"/>
            </w:tcBorders>
            <w:noWrap w:val="0"/>
            <w:vAlign w:val="center"/>
          </w:tcPr>
          <w:p w14:paraId="0DD8DA42">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p>
        </w:tc>
        <w:tc>
          <w:tcPr>
            <w:tcW w:w="4260" w:type="dxa"/>
            <w:tcBorders>
              <w:tl2br w:val="nil"/>
              <w:tr2bl w:val="nil"/>
            </w:tcBorders>
            <w:noWrap w:val="0"/>
            <w:vAlign w:val="center"/>
          </w:tcPr>
          <w:p w14:paraId="5C200520">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感染性疾病患者使用后的织物及被患者血液、体液污染的织物未按有关标准进行消毒、洗涤，发现一次扣1.5分</w:t>
            </w:r>
          </w:p>
        </w:tc>
        <w:tc>
          <w:tcPr>
            <w:tcW w:w="845" w:type="dxa"/>
            <w:tcBorders>
              <w:tl2br w:val="nil"/>
              <w:tr2bl w:val="nil"/>
            </w:tcBorders>
            <w:noWrap/>
            <w:vAlign w:val="center"/>
          </w:tcPr>
          <w:p w14:paraId="0796B534">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3分</w:t>
            </w:r>
          </w:p>
        </w:tc>
        <w:tc>
          <w:tcPr>
            <w:tcW w:w="1270" w:type="dxa"/>
            <w:tcBorders>
              <w:tl2br w:val="nil"/>
              <w:tr2bl w:val="nil"/>
            </w:tcBorders>
            <w:noWrap/>
            <w:vAlign w:val="center"/>
          </w:tcPr>
          <w:p w14:paraId="7FC79007">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810" w:type="dxa"/>
            <w:tcBorders>
              <w:tl2br w:val="nil"/>
              <w:tr2bl w:val="nil"/>
            </w:tcBorders>
            <w:noWrap/>
            <w:vAlign w:val="center"/>
          </w:tcPr>
          <w:p w14:paraId="7B07F505">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r>
      <w:tr w14:paraId="05681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662" w:type="dxa"/>
            <w:tcBorders>
              <w:tl2br w:val="nil"/>
              <w:tr2bl w:val="nil"/>
            </w:tcBorders>
            <w:noWrap w:val="0"/>
            <w:vAlign w:val="center"/>
          </w:tcPr>
          <w:p w14:paraId="39035928">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1</w:t>
            </w:r>
            <w:r>
              <w:rPr>
                <w:rFonts w:hint="eastAsia" w:ascii="新宋体" w:hAnsi="新宋体" w:eastAsia="新宋体" w:cs="新宋体"/>
                <w:color w:val="auto"/>
                <w:kern w:val="0"/>
                <w:sz w:val="22"/>
                <w:szCs w:val="22"/>
                <w:highlight w:val="none"/>
                <w:lang w:val="en-US" w:eastAsia="zh-CN"/>
              </w:rPr>
              <w:t>3</w:t>
            </w:r>
          </w:p>
        </w:tc>
        <w:tc>
          <w:tcPr>
            <w:tcW w:w="1800" w:type="dxa"/>
            <w:vMerge w:val="continue"/>
            <w:tcBorders>
              <w:tl2br w:val="nil"/>
              <w:tr2bl w:val="nil"/>
            </w:tcBorders>
            <w:noWrap w:val="0"/>
            <w:vAlign w:val="center"/>
          </w:tcPr>
          <w:p w14:paraId="7E4D2DEE">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p>
        </w:tc>
        <w:tc>
          <w:tcPr>
            <w:tcW w:w="4260" w:type="dxa"/>
            <w:tcBorders>
              <w:tl2br w:val="nil"/>
              <w:tr2bl w:val="nil"/>
            </w:tcBorders>
            <w:noWrap w:val="0"/>
            <w:vAlign w:val="center"/>
          </w:tcPr>
          <w:p w14:paraId="66A6142F">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感染类织物未专机（隔离式洗衣机）洗涤，发现一次扣3分</w:t>
            </w:r>
          </w:p>
        </w:tc>
        <w:tc>
          <w:tcPr>
            <w:tcW w:w="845" w:type="dxa"/>
            <w:tcBorders>
              <w:tl2br w:val="nil"/>
              <w:tr2bl w:val="nil"/>
            </w:tcBorders>
            <w:noWrap/>
            <w:vAlign w:val="center"/>
          </w:tcPr>
          <w:p w14:paraId="4FB01490">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3分</w:t>
            </w:r>
          </w:p>
        </w:tc>
        <w:tc>
          <w:tcPr>
            <w:tcW w:w="1270" w:type="dxa"/>
            <w:tcBorders>
              <w:tl2br w:val="nil"/>
              <w:tr2bl w:val="nil"/>
            </w:tcBorders>
            <w:noWrap/>
            <w:vAlign w:val="center"/>
          </w:tcPr>
          <w:p w14:paraId="40C845E9">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810" w:type="dxa"/>
            <w:tcBorders>
              <w:tl2br w:val="nil"/>
              <w:tr2bl w:val="nil"/>
            </w:tcBorders>
            <w:noWrap/>
            <w:vAlign w:val="center"/>
          </w:tcPr>
          <w:p w14:paraId="509FD12C">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r>
      <w:tr w14:paraId="21F85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662" w:type="dxa"/>
            <w:tcBorders>
              <w:tl2br w:val="nil"/>
              <w:tr2bl w:val="nil"/>
            </w:tcBorders>
            <w:noWrap w:val="0"/>
            <w:vAlign w:val="center"/>
          </w:tcPr>
          <w:p w14:paraId="7B131309">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1</w:t>
            </w:r>
            <w:r>
              <w:rPr>
                <w:rFonts w:hint="eastAsia" w:ascii="新宋体" w:hAnsi="新宋体" w:eastAsia="新宋体" w:cs="新宋体"/>
                <w:color w:val="auto"/>
                <w:kern w:val="0"/>
                <w:sz w:val="22"/>
                <w:szCs w:val="22"/>
                <w:highlight w:val="none"/>
                <w:lang w:val="en-US" w:eastAsia="zh-CN"/>
              </w:rPr>
              <w:t>4</w:t>
            </w:r>
          </w:p>
        </w:tc>
        <w:tc>
          <w:tcPr>
            <w:tcW w:w="1800" w:type="dxa"/>
            <w:vMerge w:val="continue"/>
            <w:tcBorders>
              <w:tl2br w:val="nil"/>
              <w:tr2bl w:val="nil"/>
            </w:tcBorders>
            <w:noWrap w:val="0"/>
            <w:vAlign w:val="center"/>
          </w:tcPr>
          <w:p w14:paraId="47615361">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p>
        </w:tc>
        <w:tc>
          <w:tcPr>
            <w:tcW w:w="4260" w:type="dxa"/>
            <w:tcBorders>
              <w:tl2br w:val="nil"/>
              <w:tr2bl w:val="nil"/>
            </w:tcBorders>
            <w:noWrap w:val="0"/>
            <w:vAlign w:val="center"/>
          </w:tcPr>
          <w:p w14:paraId="1B77EA05">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医务人员与患者织物未分开洗涤，发现一次扣1.5分</w:t>
            </w:r>
          </w:p>
        </w:tc>
        <w:tc>
          <w:tcPr>
            <w:tcW w:w="845" w:type="dxa"/>
            <w:tcBorders>
              <w:tl2br w:val="nil"/>
              <w:tr2bl w:val="nil"/>
            </w:tcBorders>
            <w:noWrap/>
            <w:vAlign w:val="center"/>
          </w:tcPr>
          <w:p w14:paraId="0431811C">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3分</w:t>
            </w:r>
          </w:p>
        </w:tc>
        <w:tc>
          <w:tcPr>
            <w:tcW w:w="1270" w:type="dxa"/>
            <w:tcBorders>
              <w:tl2br w:val="nil"/>
              <w:tr2bl w:val="nil"/>
            </w:tcBorders>
            <w:noWrap/>
            <w:vAlign w:val="center"/>
          </w:tcPr>
          <w:p w14:paraId="6AD6CED6">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810" w:type="dxa"/>
            <w:tcBorders>
              <w:tl2br w:val="nil"/>
              <w:tr2bl w:val="nil"/>
            </w:tcBorders>
            <w:noWrap/>
            <w:vAlign w:val="center"/>
          </w:tcPr>
          <w:p w14:paraId="7D268430">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r>
      <w:tr w14:paraId="2231B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662" w:type="dxa"/>
            <w:tcBorders>
              <w:tl2br w:val="nil"/>
              <w:tr2bl w:val="nil"/>
            </w:tcBorders>
            <w:noWrap w:val="0"/>
            <w:vAlign w:val="center"/>
          </w:tcPr>
          <w:p w14:paraId="51234F5F">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1</w:t>
            </w:r>
            <w:r>
              <w:rPr>
                <w:rFonts w:hint="eastAsia" w:ascii="新宋体" w:hAnsi="新宋体" w:eastAsia="新宋体" w:cs="新宋体"/>
                <w:color w:val="auto"/>
                <w:kern w:val="0"/>
                <w:sz w:val="22"/>
                <w:szCs w:val="22"/>
                <w:highlight w:val="none"/>
                <w:lang w:val="en-US" w:eastAsia="zh-CN"/>
              </w:rPr>
              <w:t>5</w:t>
            </w:r>
          </w:p>
        </w:tc>
        <w:tc>
          <w:tcPr>
            <w:tcW w:w="1800" w:type="dxa"/>
            <w:vMerge w:val="continue"/>
            <w:tcBorders>
              <w:tl2br w:val="nil"/>
              <w:tr2bl w:val="nil"/>
            </w:tcBorders>
            <w:noWrap w:val="0"/>
            <w:vAlign w:val="center"/>
          </w:tcPr>
          <w:p w14:paraId="70D649E9">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p>
        </w:tc>
        <w:tc>
          <w:tcPr>
            <w:tcW w:w="4260" w:type="dxa"/>
            <w:tcBorders>
              <w:tl2br w:val="nil"/>
              <w:tr2bl w:val="nil"/>
            </w:tcBorders>
            <w:noWrap w:val="0"/>
            <w:vAlign w:val="center"/>
          </w:tcPr>
          <w:p w14:paraId="34B652C5">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破损织物送至采购人前需要缝补，不能缝补的，送回医院并由院部报损。发现一次未缝补扣</w:t>
            </w:r>
            <w:r>
              <w:rPr>
                <w:rFonts w:hint="eastAsia" w:ascii="新宋体" w:hAnsi="新宋体" w:eastAsia="新宋体" w:cs="新宋体"/>
                <w:color w:val="auto"/>
                <w:kern w:val="0"/>
                <w:sz w:val="22"/>
                <w:szCs w:val="22"/>
                <w:highlight w:val="none"/>
                <w:lang w:val="en-US" w:eastAsia="zh-CN"/>
              </w:rPr>
              <w:t>1</w:t>
            </w:r>
            <w:r>
              <w:rPr>
                <w:rFonts w:hint="eastAsia" w:ascii="新宋体" w:hAnsi="新宋体" w:eastAsia="新宋体" w:cs="新宋体"/>
                <w:color w:val="auto"/>
                <w:kern w:val="0"/>
                <w:sz w:val="22"/>
                <w:szCs w:val="22"/>
                <w:highlight w:val="none"/>
              </w:rPr>
              <w:t>分</w:t>
            </w:r>
          </w:p>
        </w:tc>
        <w:tc>
          <w:tcPr>
            <w:tcW w:w="845" w:type="dxa"/>
            <w:tcBorders>
              <w:tl2br w:val="nil"/>
              <w:tr2bl w:val="nil"/>
            </w:tcBorders>
            <w:noWrap/>
            <w:vAlign w:val="center"/>
          </w:tcPr>
          <w:p w14:paraId="1FF69220">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3分</w:t>
            </w:r>
          </w:p>
        </w:tc>
        <w:tc>
          <w:tcPr>
            <w:tcW w:w="1270" w:type="dxa"/>
            <w:tcBorders>
              <w:tl2br w:val="nil"/>
              <w:tr2bl w:val="nil"/>
            </w:tcBorders>
            <w:noWrap/>
            <w:vAlign w:val="center"/>
          </w:tcPr>
          <w:p w14:paraId="77887FA3">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810" w:type="dxa"/>
            <w:tcBorders>
              <w:tl2br w:val="nil"/>
              <w:tr2bl w:val="nil"/>
            </w:tcBorders>
            <w:noWrap/>
            <w:vAlign w:val="center"/>
          </w:tcPr>
          <w:p w14:paraId="20594E96">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r>
      <w:tr w14:paraId="7626B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662" w:type="dxa"/>
            <w:tcBorders>
              <w:tl2br w:val="nil"/>
              <w:tr2bl w:val="nil"/>
            </w:tcBorders>
            <w:noWrap w:val="0"/>
            <w:vAlign w:val="center"/>
          </w:tcPr>
          <w:p w14:paraId="3DC5670D">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rPr>
              <w:t>1</w:t>
            </w:r>
            <w:r>
              <w:rPr>
                <w:rFonts w:hint="eastAsia" w:ascii="新宋体" w:hAnsi="新宋体" w:eastAsia="新宋体" w:cs="新宋体"/>
                <w:color w:val="auto"/>
                <w:kern w:val="0"/>
                <w:sz w:val="22"/>
                <w:szCs w:val="22"/>
                <w:highlight w:val="none"/>
                <w:lang w:val="en-US" w:eastAsia="zh-CN"/>
              </w:rPr>
              <w:t>6</w:t>
            </w:r>
          </w:p>
        </w:tc>
        <w:tc>
          <w:tcPr>
            <w:tcW w:w="1800" w:type="dxa"/>
            <w:vMerge w:val="continue"/>
            <w:tcBorders>
              <w:tl2br w:val="nil"/>
              <w:tr2bl w:val="nil"/>
            </w:tcBorders>
            <w:noWrap w:val="0"/>
            <w:vAlign w:val="center"/>
          </w:tcPr>
          <w:p w14:paraId="4C164791">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p>
        </w:tc>
        <w:tc>
          <w:tcPr>
            <w:tcW w:w="4260" w:type="dxa"/>
            <w:tcBorders>
              <w:tl2br w:val="nil"/>
              <w:tr2bl w:val="nil"/>
            </w:tcBorders>
            <w:noWrap w:val="0"/>
            <w:vAlign w:val="center"/>
          </w:tcPr>
          <w:p w14:paraId="026CB7CF">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洗涤剂、清洁剂、消毒剂等洗涤原料符合医用织物洗涤标准。发现一次不符合要求扣0.5分</w:t>
            </w:r>
          </w:p>
        </w:tc>
        <w:tc>
          <w:tcPr>
            <w:tcW w:w="845" w:type="dxa"/>
            <w:tcBorders>
              <w:tl2br w:val="nil"/>
              <w:tr2bl w:val="nil"/>
            </w:tcBorders>
            <w:noWrap/>
            <w:vAlign w:val="center"/>
          </w:tcPr>
          <w:p w14:paraId="137D7BCD">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2分</w:t>
            </w:r>
          </w:p>
        </w:tc>
        <w:tc>
          <w:tcPr>
            <w:tcW w:w="1270" w:type="dxa"/>
            <w:tcBorders>
              <w:tl2br w:val="nil"/>
              <w:tr2bl w:val="nil"/>
            </w:tcBorders>
            <w:noWrap/>
            <w:vAlign w:val="center"/>
          </w:tcPr>
          <w:p w14:paraId="1B51ACA6">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810" w:type="dxa"/>
            <w:tcBorders>
              <w:tl2br w:val="nil"/>
              <w:tr2bl w:val="nil"/>
            </w:tcBorders>
            <w:noWrap/>
            <w:vAlign w:val="center"/>
          </w:tcPr>
          <w:p w14:paraId="6E44A075">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r>
      <w:tr w14:paraId="75CCD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662" w:type="dxa"/>
            <w:tcBorders>
              <w:tl2br w:val="nil"/>
              <w:tr2bl w:val="nil"/>
            </w:tcBorders>
            <w:noWrap w:val="0"/>
            <w:vAlign w:val="center"/>
          </w:tcPr>
          <w:p w14:paraId="352B3AB2">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rPr>
              <w:t>1</w:t>
            </w:r>
            <w:r>
              <w:rPr>
                <w:rFonts w:hint="eastAsia" w:ascii="新宋体" w:hAnsi="新宋体" w:eastAsia="新宋体" w:cs="新宋体"/>
                <w:color w:val="auto"/>
                <w:kern w:val="0"/>
                <w:sz w:val="22"/>
                <w:szCs w:val="22"/>
                <w:highlight w:val="none"/>
                <w:lang w:val="en-US" w:eastAsia="zh-CN"/>
              </w:rPr>
              <w:t>7</w:t>
            </w:r>
          </w:p>
        </w:tc>
        <w:tc>
          <w:tcPr>
            <w:tcW w:w="1800" w:type="dxa"/>
            <w:vMerge w:val="continue"/>
            <w:tcBorders>
              <w:tl2br w:val="nil"/>
              <w:tr2bl w:val="nil"/>
            </w:tcBorders>
            <w:noWrap w:val="0"/>
            <w:vAlign w:val="center"/>
          </w:tcPr>
          <w:p w14:paraId="62D390DE">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p>
        </w:tc>
        <w:tc>
          <w:tcPr>
            <w:tcW w:w="4260" w:type="dxa"/>
            <w:tcBorders>
              <w:tl2br w:val="nil"/>
              <w:tr2bl w:val="nil"/>
            </w:tcBorders>
            <w:noWrap w:val="0"/>
            <w:vAlign w:val="center"/>
          </w:tcPr>
          <w:p w14:paraId="63E8577E">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混用其他医院包装袋包装布草的，</w:t>
            </w:r>
            <w:r>
              <w:rPr>
                <w:rFonts w:hint="eastAsia" w:ascii="新宋体" w:hAnsi="新宋体" w:eastAsia="新宋体" w:cs="新宋体"/>
                <w:color w:val="auto"/>
                <w:kern w:val="0"/>
                <w:sz w:val="22"/>
                <w:szCs w:val="22"/>
                <w:highlight w:val="none"/>
              </w:rPr>
              <w:t>每发生一次扣3分。</w:t>
            </w:r>
          </w:p>
        </w:tc>
        <w:tc>
          <w:tcPr>
            <w:tcW w:w="845" w:type="dxa"/>
            <w:tcBorders>
              <w:tl2br w:val="nil"/>
              <w:tr2bl w:val="nil"/>
            </w:tcBorders>
            <w:noWrap/>
            <w:vAlign w:val="center"/>
          </w:tcPr>
          <w:p w14:paraId="6D7BA5B1">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3分</w:t>
            </w:r>
          </w:p>
        </w:tc>
        <w:tc>
          <w:tcPr>
            <w:tcW w:w="1270" w:type="dxa"/>
            <w:tcBorders>
              <w:tl2br w:val="nil"/>
              <w:tr2bl w:val="nil"/>
            </w:tcBorders>
            <w:noWrap/>
            <w:vAlign w:val="center"/>
          </w:tcPr>
          <w:p w14:paraId="281BDF1F">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810" w:type="dxa"/>
            <w:tcBorders>
              <w:tl2br w:val="nil"/>
              <w:tr2bl w:val="nil"/>
            </w:tcBorders>
            <w:noWrap/>
            <w:vAlign w:val="center"/>
          </w:tcPr>
          <w:p w14:paraId="0A116460">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r>
      <w:tr w14:paraId="4F1C4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662" w:type="dxa"/>
            <w:tcBorders>
              <w:tl2br w:val="nil"/>
              <w:tr2bl w:val="nil"/>
            </w:tcBorders>
            <w:noWrap w:val="0"/>
            <w:vAlign w:val="center"/>
          </w:tcPr>
          <w:p w14:paraId="2AF78F67">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18</w:t>
            </w:r>
          </w:p>
        </w:tc>
        <w:tc>
          <w:tcPr>
            <w:tcW w:w="1800" w:type="dxa"/>
            <w:vMerge w:val="continue"/>
            <w:tcBorders>
              <w:tl2br w:val="nil"/>
              <w:tr2bl w:val="nil"/>
            </w:tcBorders>
            <w:noWrap w:val="0"/>
            <w:vAlign w:val="center"/>
          </w:tcPr>
          <w:p w14:paraId="05E0FD35">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p>
        </w:tc>
        <w:tc>
          <w:tcPr>
            <w:tcW w:w="4260" w:type="dxa"/>
            <w:tcBorders>
              <w:tl2br w:val="nil"/>
              <w:tr2bl w:val="nil"/>
            </w:tcBorders>
            <w:noWrap w:val="0"/>
            <w:vAlign w:val="center"/>
          </w:tcPr>
          <w:p w14:paraId="33D5B6FD">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医院织物按要求折叠、分类叠放，发现一次不符合要求扣</w:t>
            </w:r>
            <w:r>
              <w:rPr>
                <w:rFonts w:hint="eastAsia" w:ascii="新宋体" w:hAnsi="新宋体" w:eastAsia="新宋体" w:cs="新宋体"/>
                <w:color w:val="auto"/>
                <w:kern w:val="0"/>
                <w:sz w:val="22"/>
                <w:szCs w:val="22"/>
                <w:highlight w:val="none"/>
                <w:lang w:val="en-US" w:eastAsia="zh-CN"/>
              </w:rPr>
              <w:t>1</w:t>
            </w:r>
            <w:r>
              <w:rPr>
                <w:rFonts w:hint="eastAsia" w:ascii="新宋体" w:hAnsi="新宋体" w:eastAsia="新宋体" w:cs="新宋体"/>
                <w:color w:val="auto"/>
                <w:kern w:val="0"/>
                <w:sz w:val="22"/>
                <w:szCs w:val="22"/>
                <w:highlight w:val="none"/>
              </w:rPr>
              <w:t>分</w:t>
            </w:r>
          </w:p>
        </w:tc>
        <w:tc>
          <w:tcPr>
            <w:tcW w:w="845" w:type="dxa"/>
            <w:tcBorders>
              <w:tl2br w:val="nil"/>
              <w:tr2bl w:val="nil"/>
            </w:tcBorders>
            <w:noWrap/>
            <w:vAlign w:val="center"/>
          </w:tcPr>
          <w:p w14:paraId="5BA851BF">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4分</w:t>
            </w:r>
          </w:p>
        </w:tc>
        <w:tc>
          <w:tcPr>
            <w:tcW w:w="1270" w:type="dxa"/>
            <w:tcBorders>
              <w:tl2br w:val="nil"/>
              <w:tr2bl w:val="nil"/>
            </w:tcBorders>
            <w:noWrap/>
            <w:vAlign w:val="center"/>
          </w:tcPr>
          <w:p w14:paraId="18466C49">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810" w:type="dxa"/>
            <w:tcBorders>
              <w:tl2br w:val="nil"/>
              <w:tr2bl w:val="nil"/>
            </w:tcBorders>
            <w:noWrap/>
            <w:vAlign w:val="center"/>
          </w:tcPr>
          <w:p w14:paraId="4D157270">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r>
      <w:tr w14:paraId="1D63B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662" w:type="dxa"/>
            <w:tcBorders>
              <w:tl2br w:val="nil"/>
              <w:tr2bl w:val="nil"/>
            </w:tcBorders>
            <w:noWrap w:val="0"/>
            <w:vAlign w:val="center"/>
          </w:tcPr>
          <w:p w14:paraId="633083A3">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default"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19</w:t>
            </w:r>
          </w:p>
        </w:tc>
        <w:tc>
          <w:tcPr>
            <w:tcW w:w="1800" w:type="dxa"/>
            <w:vMerge w:val="continue"/>
            <w:tcBorders>
              <w:tl2br w:val="nil"/>
              <w:tr2bl w:val="nil"/>
            </w:tcBorders>
            <w:noWrap w:val="0"/>
            <w:vAlign w:val="center"/>
          </w:tcPr>
          <w:p w14:paraId="5B79F3D6">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p>
        </w:tc>
        <w:tc>
          <w:tcPr>
            <w:tcW w:w="4260" w:type="dxa"/>
            <w:tcBorders>
              <w:tl2br w:val="nil"/>
              <w:tr2bl w:val="nil"/>
            </w:tcBorders>
            <w:noWrap w:val="0"/>
            <w:vAlign w:val="center"/>
          </w:tcPr>
          <w:p w14:paraId="2CDBF0FE">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医院需要的资料及时送达，一次未送达扣1分</w:t>
            </w:r>
          </w:p>
        </w:tc>
        <w:tc>
          <w:tcPr>
            <w:tcW w:w="845" w:type="dxa"/>
            <w:tcBorders>
              <w:tl2br w:val="nil"/>
              <w:tr2bl w:val="nil"/>
            </w:tcBorders>
            <w:noWrap/>
            <w:vAlign w:val="center"/>
          </w:tcPr>
          <w:p w14:paraId="61B5D399">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2分</w:t>
            </w:r>
          </w:p>
        </w:tc>
        <w:tc>
          <w:tcPr>
            <w:tcW w:w="1270" w:type="dxa"/>
            <w:tcBorders>
              <w:tl2br w:val="nil"/>
              <w:tr2bl w:val="nil"/>
            </w:tcBorders>
            <w:noWrap/>
            <w:vAlign w:val="center"/>
          </w:tcPr>
          <w:p w14:paraId="5A7B4456">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810" w:type="dxa"/>
            <w:tcBorders>
              <w:tl2br w:val="nil"/>
              <w:tr2bl w:val="nil"/>
            </w:tcBorders>
            <w:noWrap/>
            <w:vAlign w:val="center"/>
          </w:tcPr>
          <w:p w14:paraId="36806047">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r>
      <w:tr w14:paraId="20778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662" w:type="dxa"/>
            <w:tcBorders>
              <w:tl2br w:val="nil"/>
              <w:tr2bl w:val="nil"/>
            </w:tcBorders>
            <w:noWrap w:val="0"/>
            <w:vAlign w:val="center"/>
          </w:tcPr>
          <w:p w14:paraId="7727412C">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rPr>
              <w:t>2</w:t>
            </w:r>
            <w:r>
              <w:rPr>
                <w:rFonts w:hint="eastAsia" w:ascii="新宋体" w:hAnsi="新宋体" w:eastAsia="新宋体" w:cs="新宋体"/>
                <w:color w:val="auto"/>
                <w:kern w:val="0"/>
                <w:sz w:val="22"/>
                <w:szCs w:val="22"/>
                <w:highlight w:val="none"/>
                <w:lang w:val="en-US" w:eastAsia="zh-CN"/>
              </w:rPr>
              <w:t>0</w:t>
            </w:r>
          </w:p>
        </w:tc>
        <w:tc>
          <w:tcPr>
            <w:tcW w:w="1800" w:type="dxa"/>
            <w:vMerge w:val="continue"/>
            <w:tcBorders>
              <w:tl2br w:val="nil"/>
              <w:tr2bl w:val="nil"/>
            </w:tcBorders>
            <w:noWrap w:val="0"/>
            <w:vAlign w:val="center"/>
          </w:tcPr>
          <w:p w14:paraId="1179EFBE">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p>
        </w:tc>
        <w:tc>
          <w:tcPr>
            <w:tcW w:w="4260" w:type="dxa"/>
            <w:tcBorders>
              <w:tl2br w:val="nil"/>
              <w:tr2bl w:val="nil"/>
            </w:tcBorders>
            <w:noWrap w:val="0"/>
            <w:vAlign w:val="center"/>
          </w:tcPr>
          <w:p w14:paraId="38F9231B">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微生物抽查结果达到有关部门及医院院感科规定的洗涤检测标准，一次不达标扣4分</w:t>
            </w:r>
          </w:p>
        </w:tc>
        <w:tc>
          <w:tcPr>
            <w:tcW w:w="845" w:type="dxa"/>
            <w:tcBorders>
              <w:tl2br w:val="nil"/>
              <w:tr2bl w:val="nil"/>
            </w:tcBorders>
            <w:noWrap/>
            <w:vAlign w:val="center"/>
          </w:tcPr>
          <w:p w14:paraId="21DB690D">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4分</w:t>
            </w:r>
          </w:p>
        </w:tc>
        <w:tc>
          <w:tcPr>
            <w:tcW w:w="1270" w:type="dxa"/>
            <w:tcBorders>
              <w:tl2br w:val="nil"/>
              <w:tr2bl w:val="nil"/>
            </w:tcBorders>
            <w:noWrap/>
            <w:vAlign w:val="center"/>
          </w:tcPr>
          <w:p w14:paraId="0C0F0CD4">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810" w:type="dxa"/>
            <w:tcBorders>
              <w:tl2br w:val="nil"/>
              <w:tr2bl w:val="nil"/>
            </w:tcBorders>
            <w:noWrap/>
            <w:vAlign w:val="center"/>
          </w:tcPr>
          <w:p w14:paraId="6840A818">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r>
      <w:tr w14:paraId="7228D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662" w:type="dxa"/>
            <w:tcBorders>
              <w:tl2br w:val="nil"/>
              <w:tr2bl w:val="nil"/>
            </w:tcBorders>
            <w:noWrap w:val="0"/>
            <w:vAlign w:val="center"/>
          </w:tcPr>
          <w:p w14:paraId="531CA0BB">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rPr>
              <w:t>2</w:t>
            </w:r>
            <w:r>
              <w:rPr>
                <w:rFonts w:hint="eastAsia" w:ascii="新宋体" w:hAnsi="新宋体" w:eastAsia="新宋体" w:cs="新宋体"/>
                <w:color w:val="auto"/>
                <w:kern w:val="0"/>
                <w:sz w:val="22"/>
                <w:szCs w:val="22"/>
                <w:highlight w:val="none"/>
                <w:lang w:val="en-US" w:eastAsia="zh-CN"/>
              </w:rPr>
              <w:t>1</w:t>
            </w:r>
          </w:p>
        </w:tc>
        <w:tc>
          <w:tcPr>
            <w:tcW w:w="1800" w:type="dxa"/>
            <w:vMerge w:val="continue"/>
            <w:tcBorders>
              <w:tl2br w:val="nil"/>
              <w:tr2bl w:val="nil"/>
            </w:tcBorders>
            <w:noWrap w:val="0"/>
            <w:vAlign w:val="center"/>
          </w:tcPr>
          <w:p w14:paraId="66578F3D">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p>
        </w:tc>
        <w:tc>
          <w:tcPr>
            <w:tcW w:w="4260" w:type="dxa"/>
            <w:tcBorders>
              <w:tl2br w:val="nil"/>
              <w:tr2bl w:val="nil"/>
            </w:tcBorders>
            <w:noWrap w:val="0"/>
            <w:vAlign w:val="center"/>
          </w:tcPr>
          <w:p w14:paraId="61DEBA7C">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以上问题未及时整改或整改态度不诚恳，出现一次扣1分</w:t>
            </w:r>
          </w:p>
        </w:tc>
        <w:tc>
          <w:tcPr>
            <w:tcW w:w="845" w:type="dxa"/>
            <w:tcBorders>
              <w:tl2br w:val="nil"/>
              <w:tr2bl w:val="nil"/>
            </w:tcBorders>
            <w:noWrap/>
            <w:vAlign w:val="center"/>
          </w:tcPr>
          <w:p w14:paraId="31249757">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5分</w:t>
            </w:r>
          </w:p>
        </w:tc>
        <w:tc>
          <w:tcPr>
            <w:tcW w:w="1270" w:type="dxa"/>
            <w:tcBorders>
              <w:tl2br w:val="nil"/>
              <w:tr2bl w:val="nil"/>
            </w:tcBorders>
            <w:noWrap/>
            <w:vAlign w:val="center"/>
          </w:tcPr>
          <w:p w14:paraId="01CC832B">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810" w:type="dxa"/>
            <w:tcBorders>
              <w:tl2br w:val="nil"/>
              <w:tr2bl w:val="nil"/>
            </w:tcBorders>
            <w:noWrap/>
            <w:vAlign w:val="center"/>
          </w:tcPr>
          <w:p w14:paraId="3ED5F37D">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r>
      <w:tr w14:paraId="7BE0A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662" w:type="dxa"/>
            <w:tcBorders>
              <w:tl2br w:val="nil"/>
              <w:tr2bl w:val="nil"/>
            </w:tcBorders>
            <w:noWrap w:val="0"/>
            <w:vAlign w:val="center"/>
          </w:tcPr>
          <w:p w14:paraId="3AACA7E2">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rPr>
              <w:t>2</w:t>
            </w:r>
            <w:r>
              <w:rPr>
                <w:rFonts w:hint="eastAsia" w:ascii="新宋体" w:hAnsi="新宋体" w:eastAsia="新宋体" w:cs="新宋体"/>
                <w:color w:val="auto"/>
                <w:kern w:val="0"/>
                <w:sz w:val="22"/>
                <w:szCs w:val="22"/>
                <w:highlight w:val="none"/>
                <w:lang w:val="en-US" w:eastAsia="zh-CN"/>
              </w:rPr>
              <w:t>2</w:t>
            </w:r>
          </w:p>
        </w:tc>
        <w:tc>
          <w:tcPr>
            <w:tcW w:w="1800" w:type="dxa"/>
            <w:vMerge w:val="restart"/>
            <w:tcBorders>
              <w:tl2br w:val="nil"/>
              <w:tr2bl w:val="nil"/>
            </w:tcBorders>
            <w:noWrap/>
            <w:vAlign w:val="center"/>
          </w:tcPr>
          <w:p w14:paraId="757BDE7C">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洗涤公司自查情况（5分）</w:t>
            </w:r>
          </w:p>
        </w:tc>
        <w:tc>
          <w:tcPr>
            <w:tcW w:w="4260" w:type="dxa"/>
            <w:tcBorders>
              <w:tl2br w:val="nil"/>
              <w:tr2bl w:val="nil"/>
            </w:tcBorders>
            <w:noWrap w:val="0"/>
            <w:vAlign w:val="center"/>
          </w:tcPr>
          <w:p w14:paraId="51341C15">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每月至少自查2次，一次未自查扣1分</w:t>
            </w:r>
          </w:p>
        </w:tc>
        <w:tc>
          <w:tcPr>
            <w:tcW w:w="845" w:type="dxa"/>
            <w:tcBorders>
              <w:tl2br w:val="nil"/>
              <w:tr2bl w:val="nil"/>
            </w:tcBorders>
            <w:noWrap/>
            <w:vAlign w:val="center"/>
          </w:tcPr>
          <w:p w14:paraId="45C94D76">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2分</w:t>
            </w:r>
          </w:p>
        </w:tc>
        <w:tc>
          <w:tcPr>
            <w:tcW w:w="1270" w:type="dxa"/>
            <w:tcBorders>
              <w:tl2br w:val="nil"/>
              <w:tr2bl w:val="nil"/>
            </w:tcBorders>
            <w:noWrap/>
            <w:vAlign w:val="center"/>
          </w:tcPr>
          <w:p w14:paraId="75FE202A">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810" w:type="dxa"/>
            <w:tcBorders>
              <w:tl2br w:val="nil"/>
              <w:tr2bl w:val="nil"/>
            </w:tcBorders>
            <w:noWrap/>
            <w:vAlign w:val="center"/>
          </w:tcPr>
          <w:p w14:paraId="2F543328">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r>
      <w:tr w14:paraId="0E7B1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662" w:type="dxa"/>
            <w:tcBorders>
              <w:tl2br w:val="nil"/>
              <w:tr2bl w:val="nil"/>
            </w:tcBorders>
            <w:noWrap w:val="0"/>
            <w:vAlign w:val="center"/>
          </w:tcPr>
          <w:p w14:paraId="38D53A1E">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rPr>
              <w:t>2</w:t>
            </w:r>
            <w:r>
              <w:rPr>
                <w:rFonts w:hint="eastAsia" w:ascii="新宋体" w:hAnsi="新宋体" w:eastAsia="新宋体" w:cs="新宋体"/>
                <w:color w:val="auto"/>
                <w:kern w:val="0"/>
                <w:sz w:val="22"/>
                <w:szCs w:val="22"/>
                <w:highlight w:val="none"/>
                <w:lang w:val="en-US" w:eastAsia="zh-CN"/>
              </w:rPr>
              <w:t>3</w:t>
            </w:r>
          </w:p>
        </w:tc>
        <w:tc>
          <w:tcPr>
            <w:tcW w:w="1800" w:type="dxa"/>
            <w:vMerge w:val="continue"/>
            <w:tcBorders>
              <w:tl2br w:val="nil"/>
              <w:tr2bl w:val="nil"/>
            </w:tcBorders>
            <w:noWrap w:val="0"/>
            <w:vAlign w:val="center"/>
          </w:tcPr>
          <w:p w14:paraId="237B89B6">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p>
        </w:tc>
        <w:tc>
          <w:tcPr>
            <w:tcW w:w="4260" w:type="dxa"/>
            <w:tcBorders>
              <w:tl2br w:val="nil"/>
              <w:tr2bl w:val="nil"/>
            </w:tcBorders>
            <w:noWrap w:val="0"/>
            <w:vAlign w:val="center"/>
          </w:tcPr>
          <w:p w14:paraId="24C69C02">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未能提供书面自查内容记录和整改内容记录，发现一次扣0.5分</w:t>
            </w:r>
          </w:p>
        </w:tc>
        <w:tc>
          <w:tcPr>
            <w:tcW w:w="845" w:type="dxa"/>
            <w:tcBorders>
              <w:tl2br w:val="nil"/>
              <w:tr2bl w:val="nil"/>
            </w:tcBorders>
            <w:noWrap/>
            <w:vAlign w:val="center"/>
          </w:tcPr>
          <w:p w14:paraId="5EF51C78">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3分</w:t>
            </w:r>
          </w:p>
        </w:tc>
        <w:tc>
          <w:tcPr>
            <w:tcW w:w="1270" w:type="dxa"/>
            <w:tcBorders>
              <w:tl2br w:val="nil"/>
              <w:tr2bl w:val="nil"/>
            </w:tcBorders>
            <w:noWrap/>
            <w:vAlign w:val="center"/>
          </w:tcPr>
          <w:p w14:paraId="3F28A979">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810" w:type="dxa"/>
            <w:tcBorders>
              <w:tl2br w:val="nil"/>
              <w:tr2bl w:val="nil"/>
            </w:tcBorders>
            <w:noWrap/>
            <w:vAlign w:val="center"/>
          </w:tcPr>
          <w:p w14:paraId="0735474C">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r>
      <w:tr w14:paraId="27330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trPr>
        <w:tc>
          <w:tcPr>
            <w:tcW w:w="662" w:type="dxa"/>
            <w:tcBorders>
              <w:tl2br w:val="nil"/>
              <w:tr2bl w:val="nil"/>
            </w:tcBorders>
            <w:noWrap w:val="0"/>
            <w:vAlign w:val="center"/>
          </w:tcPr>
          <w:p w14:paraId="78D4A673">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rPr>
              <w:t>2</w:t>
            </w:r>
            <w:r>
              <w:rPr>
                <w:rFonts w:hint="eastAsia" w:ascii="新宋体" w:hAnsi="新宋体" w:eastAsia="新宋体" w:cs="新宋体"/>
                <w:color w:val="auto"/>
                <w:kern w:val="0"/>
                <w:sz w:val="22"/>
                <w:szCs w:val="22"/>
                <w:highlight w:val="none"/>
                <w:lang w:val="en-US" w:eastAsia="zh-CN"/>
              </w:rPr>
              <w:t>4</w:t>
            </w:r>
          </w:p>
        </w:tc>
        <w:tc>
          <w:tcPr>
            <w:tcW w:w="1800" w:type="dxa"/>
            <w:tcBorders>
              <w:tl2br w:val="nil"/>
              <w:tr2bl w:val="nil"/>
            </w:tcBorders>
            <w:noWrap/>
            <w:vAlign w:val="center"/>
          </w:tcPr>
          <w:p w14:paraId="6FAF06DF">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违反其他相关管理规范（5分）</w:t>
            </w:r>
          </w:p>
        </w:tc>
        <w:tc>
          <w:tcPr>
            <w:tcW w:w="4260" w:type="dxa"/>
            <w:tcBorders>
              <w:tl2br w:val="nil"/>
              <w:tr2bl w:val="nil"/>
            </w:tcBorders>
            <w:noWrap w:val="0"/>
            <w:vAlign w:val="center"/>
          </w:tcPr>
          <w:p w14:paraId="2C95D233">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845" w:type="dxa"/>
            <w:tcBorders>
              <w:tl2br w:val="nil"/>
              <w:tr2bl w:val="nil"/>
            </w:tcBorders>
            <w:noWrap/>
            <w:vAlign w:val="center"/>
          </w:tcPr>
          <w:p w14:paraId="2868186B">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5分</w:t>
            </w:r>
          </w:p>
        </w:tc>
        <w:tc>
          <w:tcPr>
            <w:tcW w:w="1270" w:type="dxa"/>
            <w:tcBorders>
              <w:tl2br w:val="nil"/>
              <w:tr2bl w:val="nil"/>
            </w:tcBorders>
            <w:noWrap/>
            <w:vAlign w:val="center"/>
          </w:tcPr>
          <w:p w14:paraId="3A5FB30E">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810" w:type="dxa"/>
            <w:tcBorders>
              <w:tl2br w:val="nil"/>
              <w:tr2bl w:val="nil"/>
            </w:tcBorders>
            <w:noWrap/>
            <w:vAlign w:val="center"/>
          </w:tcPr>
          <w:p w14:paraId="0CBFF284">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r>
      <w:tr w14:paraId="457E0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662" w:type="dxa"/>
            <w:tcBorders>
              <w:tl2br w:val="nil"/>
              <w:tr2bl w:val="nil"/>
            </w:tcBorders>
            <w:noWrap w:val="0"/>
            <w:vAlign w:val="center"/>
          </w:tcPr>
          <w:p w14:paraId="53C4BE6C">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1800" w:type="dxa"/>
            <w:tcBorders>
              <w:tl2br w:val="nil"/>
              <w:tr2bl w:val="nil"/>
            </w:tcBorders>
            <w:noWrap/>
            <w:vAlign w:val="center"/>
          </w:tcPr>
          <w:p w14:paraId="0283BB22">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合计</w:t>
            </w:r>
          </w:p>
        </w:tc>
        <w:tc>
          <w:tcPr>
            <w:tcW w:w="4260" w:type="dxa"/>
            <w:tcBorders>
              <w:tl2br w:val="nil"/>
              <w:tr2bl w:val="nil"/>
            </w:tcBorders>
            <w:noWrap w:val="0"/>
            <w:vAlign w:val="center"/>
          </w:tcPr>
          <w:p w14:paraId="3EFF5399">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845" w:type="dxa"/>
            <w:tcBorders>
              <w:tl2br w:val="nil"/>
              <w:tr2bl w:val="nil"/>
            </w:tcBorders>
            <w:noWrap/>
            <w:vAlign w:val="center"/>
          </w:tcPr>
          <w:p w14:paraId="6F3174AF">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100分</w:t>
            </w:r>
          </w:p>
        </w:tc>
        <w:tc>
          <w:tcPr>
            <w:tcW w:w="1270" w:type="dxa"/>
            <w:tcBorders>
              <w:tl2br w:val="nil"/>
              <w:tr2bl w:val="nil"/>
            </w:tcBorders>
            <w:noWrap/>
            <w:vAlign w:val="center"/>
          </w:tcPr>
          <w:p w14:paraId="094CC358">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810" w:type="dxa"/>
            <w:tcBorders>
              <w:tl2br w:val="nil"/>
              <w:tr2bl w:val="nil"/>
            </w:tcBorders>
            <w:noWrap/>
            <w:vAlign w:val="center"/>
          </w:tcPr>
          <w:p w14:paraId="05749F92">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r>
    </w:tbl>
    <w:p w14:paraId="2A0C0CA7">
      <w:pP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br w:type="page"/>
      </w:r>
    </w:p>
    <w:p w14:paraId="43199734">
      <w:pPr>
        <w:keepNext w:val="0"/>
        <w:keepLines w:val="0"/>
        <w:pageBreakBefore w:val="0"/>
        <w:kinsoku/>
        <w:wordWrap/>
        <w:overflowPunct/>
        <w:topLinePunct w:val="0"/>
        <w:autoSpaceDE/>
        <w:autoSpaceDN/>
        <w:bidi w:val="0"/>
        <w:spacing w:line="460" w:lineRule="exact"/>
        <w:jc w:val="both"/>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lang w:val="en-US" w:eastAsia="zh-CN"/>
        </w:rPr>
        <w:t>附件2：</w:t>
      </w:r>
    </w:p>
    <w:p w14:paraId="3510D959">
      <w:pPr>
        <w:keepNext w:val="0"/>
        <w:keepLines w:val="0"/>
        <w:pageBreakBefore w:val="0"/>
        <w:kinsoku/>
        <w:wordWrap/>
        <w:overflowPunct/>
        <w:topLinePunct w:val="0"/>
        <w:autoSpaceDE/>
        <w:autoSpaceDN/>
        <w:bidi w:val="0"/>
        <w:spacing w:line="460" w:lineRule="exact"/>
        <w:jc w:val="center"/>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（二）月度考核奖惩办法</w:t>
      </w:r>
    </w:p>
    <w:p w14:paraId="46A1F734">
      <w:pPr>
        <w:keepNext w:val="0"/>
        <w:keepLines w:val="0"/>
        <w:pageBreakBefore w:val="0"/>
        <w:kinsoku/>
        <w:wordWrap/>
        <w:overflowPunct/>
        <w:topLinePunct w:val="0"/>
        <w:autoSpaceDE/>
        <w:autoSpaceDN/>
        <w:bidi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1.每月得分90分（不含）以下的每低一分扣1000元，罚扣款在下月的洗涤费中扣除。</w:t>
      </w:r>
    </w:p>
    <w:p w14:paraId="5E96C3C7">
      <w:pPr>
        <w:keepNext w:val="0"/>
        <w:keepLines w:val="0"/>
        <w:pageBreakBefore w:val="0"/>
        <w:kinsoku/>
        <w:wordWrap/>
        <w:overflowPunct/>
        <w:topLinePunct w:val="0"/>
        <w:autoSpaceDE/>
        <w:autoSpaceDN/>
        <w:bidi w:val="0"/>
        <w:spacing w:line="460" w:lineRule="exact"/>
        <w:textAlignment w:val="auto"/>
        <w:rPr>
          <w:rFonts w:hint="eastAsia" w:ascii="新宋体" w:hAnsi="新宋体" w:eastAsia="新宋体" w:cs="新宋体"/>
          <w:snapToGrid w:val="0"/>
          <w:color w:val="auto"/>
          <w:kern w:val="0"/>
          <w:sz w:val="22"/>
          <w:szCs w:val="22"/>
          <w:highlight w:val="none"/>
        </w:rPr>
      </w:pPr>
      <w:r>
        <w:rPr>
          <w:rFonts w:hint="eastAsia" w:ascii="新宋体" w:hAnsi="新宋体" w:eastAsia="新宋体" w:cs="新宋体"/>
          <w:color w:val="auto"/>
          <w:sz w:val="22"/>
          <w:szCs w:val="22"/>
          <w:highlight w:val="none"/>
        </w:rPr>
        <w:t>2.每月得分80分（不含）以下的每低一分扣2000元，罚扣款在下月的洗涤费中扣除。</w:t>
      </w:r>
    </w:p>
    <w:p w14:paraId="10583A34">
      <w:pPr>
        <w:keepNext w:val="0"/>
        <w:keepLines w:val="0"/>
        <w:pageBreakBefore w:val="0"/>
        <w:kinsoku/>
        <w:wordWrap/>
        <w:overflowPunct/>
        <w:topLinePunct w:val="0"/>
        <w:autoSpaceDE/>
        <w:autoSpaceDN/>
        <w:bidi w:val="0"/>
        <w:spacing w:line="460" w:lineRule="exact"/>
        <w:textAlignment w:val="auto"/>
        <w:rPr>
          <w:rFonts w:hint="eastAsia" w:ascii="新宋体" w:hAnsi="新宋体" w:eastAsia="新宋体" w:cs="新宋体"/>
          <w:bCs/>
          <w:color w:val="auto"/>
          <w:sz w:val="22"/>
          <w:szCs w:val="22"/>
          <w:highlight w:val="none"/>
          <w:lang w:val="en-GB"/>
        </w:rPr>
      </w:pPr>
      <w:r>
        <w:rPr>
          <w:rFonts w:hint="eastAsia" w:ascii="新宋体" w:hAnsi="新宋体" w:eastAsia="新宋体" w:cs="新宋体"/>
          <w:snapToGrid w:val="0"/>
          <w:color w:val="auto"/>
          <w:kern w:val="0"/>
          <w:sz w:val="22"/>
          <w:szCs w:val="22"/>
          <w:highlight w:val="none"/>
        </w:rPr>
        <w:t>3.连续3个月低于80分或合同期内评分累计4个月低于80分</w:t>
      </w:r>
      <w:r>
        <w:rPr>
          <w:rFonts w:hint="eastAsia" w:ascii="新宋体" w:hAnsi="新宋体" w:eastAsia="新宋体" w:cs="新宋体"/>
          <w:color w:val="auto"/>
          <w:sz w:val="22"/>
          <w:szCs w:val="22"/>
          <w:highlight w:val="none"/>
          <w:lang w:eastAsia="zh-CN"/>
        </w:rPr>
        <w:t>或</w:t>
      </w:r>
      <w:r>
        <w:rPr>
          <w:rFonts w:hint="eastAsia" w:ascii="新宋体" w:hAnsi="新宋体" w:eastAsia="新宋体" w:cs="新宋体"/>
          <w:snapToGrid w:val="0"/>
          <w:color w:val="auto"/>
          <w:kern w:val="0"/>
          <w:sz w:val="22"/>
          <w:szCs w:val="22"/>
          <w:highlight w:val="none"/>
          <w:lang w:eastAsia="zh-CN"/>
        </w:rPr>
        <w:t>合同期内单月低于</w:t>
      </w:r>
      <w:r>
        <w:rPr>
          <w:rFonts w:hint="eastAsia" w:ascii="新宋体" w:hAnsi="新宋体" w:eastAsia="新宋体" w:cs="新宋体"/>
          <w:snapToGrid w:val="0"/>
          <w:color w:val="auto"/>
          <w:kern w:val="0"/>
          <w:sz w:val="22"/>
          <w:szCs w:val="22"/>
          <w:highlight w:val="none"/>
          <w:lang w:val="en-US" w:eastAsia="zh-CN"/>
        </w:rPr>
        <w:t>70分</w:t>
      </w:r>
      <w:r>
        <w:rPr>
          <w:rFonts w:hint="eastAsia" w:ascii="新宋体" w:hAnsi="新宋体" w:eastAsia="新宋体" w:cs="新宋体"/>
          <w:snapToGrid w:val="0"/>
          <w:color w:val="auto"/>
          <w:kern w:val="0"/>
          <w:sz w:val="22"/>
          <w:szCs w:val="22"/>
          <w:highlight w:val="none"/>
        </w:rPr>
        <w:t>，则甲方有权与乙方终止服务合同。</w:t>
      </w:r>
    </w:p>
    <w:p w14:paraId="4D9FDD3E">
      <w:pPr>
        <w:pStyle w:val="23"/>
        <w:spacing w:after="0" w:line="460" w:lineRule="exact"/>
        <w:ind w:left="0" w:leftChars="0"/>
        <w:jc w:val="center"/>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22"/>
          <w:szCs w:val="22"/>
          <w:highlight w:val="none"/>
        </w:rPr>
        <w:br w:type="page"/>
      </w:r>
      <w:bookmarkStart w:id="23" w:name="_Toc26778"/>
      <w:r>
        <w:rPr>
          <w:rFonts w:hint="eastAsia" w:ascii="新宋体" w:hAnsi="新宋体" w:eastAsia="新宋体" w:cs="新宋体"/>
          <w:b/>
          <w:color w:val="auto"/>
          <w:sz w:val="30"/>
          <w:highlight w:val="none"/>
        </w:rPr>
        <w:t>第三部分    附件</w:t>
      </w:r>
      <w:bookmarkEnd w:id="23"/>
    </w:p>
    <w:p w14:paraId="0BF576F5">
      <w:pPr>
        <w:pStyle w:val="23"/>
        <w:spacing w:line="460" w:lineRule="exact"/>
        <w:ind w:left="0" w:leftChars="0"/>
        <w:outlineLvl w:val="1"/>
        <w:rPr>
          <w:rFonts w:hint="eastAsia" w:ascii="新宋体" w:hAnsi="新宋体" w:eastAsia="新宋体" w:cs="新宋体"/>
          <w:b/>
          <w:color w:val="auto"/>
          <w:sz w:val="22"/>
          <w:highlight w:val="none"/>
        </w:rPr>
      </w:pPr>
      <w:bookmarkStart w:id="24" w:name="_Toc8348"/>
      <w:r>
        <w:rPr>
          <w:rFonts w:hint="eastAsia" w:ascii="新宋体" w:hAnsi="新宋体" w:eastAsia="新宋体" w:cs="新宋体"/>
          <w:b/>
          <w:color w:val="auto"/>
          <w:sz w:val="22"/>
          <w:highlight w:val="none"/>
        </w:rPr>
        <w:t>附件一</w:t>
      </w:r>
      <w:bookmarkEnd w:id="24"/>
    </w:p>
    <w:p w14:paraId="53B08028">
      <w:pPr>
        <w:spacing w:line="460" w:lineRule="exact"/>
        <w:jc w:val="center"/>
        <w:outlineLvl w:val="2"/>
        <w:rPr>
          <w:rFonts w:hint="eastAsia" w:ascii="新宋体" w:hAnsi="新宋体" w:eastAsia="新宋体" w:cs="新宋体"/>
          <w:color w:val="auto"/>
          <w:sz w:val="28"/>
          <w:szCs w:val="28"/>
          <w:highlight w:val="none"/>
        </w:rPr>
      </w:pPr>
      <w:bookmarkStart w:id="25" w:name="_Toc20581"/>
      <w:bookmarkStart w:id="26" w:name="_Toc19743"/>
      <w:r>
        <w:rPr>
          <w:rFonts w:hint="eastAsia" w:ascii="新宋体" w:hAnsi="新宋体" w:eastAsia="新宋体" w:cs="新宋体"/>
          <w:b/>
          <w:bCs/>
          <w:color w:val="auto"/>
          <w:sz w:val="28"/>
          <w:szCs w:val="28"/>
          <w:highlight w:val="none"/>
        </w:rPr>
        <w:t>资格证明文件</w:t>
      </w:r>
      <w:bookmarkEnd w:id="25"/>
    </w:p>
    <w:p w14:paraId="4778FE98">
      <w:pPr>
        <w:spacing w:line="400" w:lineRule="exact"/>
        <w:jc w:val="center"/>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lang w:val="en-US" w:eastAsia="zh-CN"/>
        </w:rPr>
        <w:t>1、资格条件承诺函</w:t>
      </w:r>
    </w:p>
    <w:p w14:paraId="4CBE9EBE">
      <w:pPr>
        <w:keepNext w:val="0"/>
        <w:keepLines w:val="0"/>
        <w:pageBreakBefore w:val="0"/>
        <w:widowControl/>
        <w:kinsoku/>
        <w:wordWrap/>
        <w:overflowPunct/>
        <w:topLinePunct w:val="0"/>
        <w:autoSpaceDE/>
        <w:autoSpaceDN/>
        <w:bidi w:val="0"/>
        <w:adjustRightInd/>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温州市第七人民医院</w:t>
      </w:r>
      <w:r>
        <w:rPr>
          <w:rFonts w:hint="eastAsia" w:ascii="新宋体" w:hAnsi="新宋体" w:eastAsia="新宋体" w:cs="新宋体"/>
          <w:color w:val="auto"/>
          <w:kern w:val="0"/>
          <w:sz w:val="22"/>
          <w:szCs w:val="22"/>
          <w:highlight w:val="none"/>
        </w:rPr>
        <w:t>、温州历程招标有限公司：</w:t>
      </w:r>
    </w:p>
    <w:p w14:paraId="590C2374">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我方参与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（项目名称、编号）投标，现郑重承诺</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kern w:val="0"/>
          <w:sz w:val="22"/>
          <w:szCs w:val="22"/>
          <w:highlight w:val="none"/>
        </w:rPr>
        <w:t>参加本次采购活动前3年内</w:t>
      </w:r>
      <w:r>
        <w:rPr>
          <w:rFonts w:hint="eastAsia" w:ascii="新宋体" w:hAnsi="新宋体" w:eastAsia="新宋体" w:cs="新宋体"/>
          <w:color w:val="auto"/>
          <w:sz w:val="22"/>
          <w:szCs w:val="22"/>
          <w:highlight w:val="none"/>
        </w:rPr>
        <w:t>：</w:t>
      </w:r>
    </w:p>
    <w:p w14:paraId="7507DCE6">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1、我方符合《中华人民共和国政府采购法》第22条规定的资格条件，即</w:t>
      </w:r>
    </w:p>
    <w:p w14:paraId="279C8433">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（1）我方具有独立承担民事责任的能力；</w:t>
      </w:r>
    </w:p>
    <w:p w14:paraId="78DC032F">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（2）我方具有良好的商业信誉和健全的财务会计制度；</w:t>
      </w:r>
    </w:p>
    <w:p w14:paraId="127ABC5B">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（3）我方具有履行合同所必需的设备和专业技术能力；</w:t>
      </w:r>
    </w:p>
    <w:p w14:paraId="1867A53E">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（4）我方有依法缴纳税收和社会保障资金的良好记录；</w:t>
      </w:r>
    </w:p>
    <w:p w14:paraId="13773366">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（5）我方参加本次政府采购活动前3年内在经营活动中没有重大违法记录（没有因违法经营</w:t>
      </w:r>
      <w:r>
        <w:rPr>
          <w:rFonts w:hint="eastAsia" w:ascii="新宋体" w:hAnsi="新宋体" w:eastAsia="新宋体" w:cs="新宋体"/>
          <w:color w:val="auto"/>
          <w:kern w:val="0"/>
          <w:sz w:val="22"/>
          <w:szCs w:val="22"/>
          <w:highlight w:val="none"/>
        </w:rPr>
        <w:t>受到刑事处罚，没有被责令停产停业、被吊销许可证或者执照、被处以较大数额罚款等行政处罚，没有因违法经营被禁止参加政府采购活动的期限未满情形）。</w:t>
      </w:r>
    </w:p>
    <w:p w14:paraId="53BC110D">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2、到本项目投标截止时间为止，我方未被“信用中国（</w:t>
      </w:r>
      <w:r>
        <w:rPr>
          <w:rFonts w:hint="eastAsia" w:ascii="新宋体" w:hAnsi="新宋体" w:eastAsia="新宋体" w:cs="新宋体"/>
          <w:color w:val="auto"/>
          <w:kern w:val="0"/>
          <w:sz w:val="22"/>
          <w:szCs w:val="22"/>
          <w:highlight w:val="none"/>
          <w:lang w:eastAsia="zh-CN"/>
        </w:rPr>
        <w:fldChar w:fldCharType="begin"/>
      </w:r>
      <w:r>
        <w:rPr>
          <w:rFonts w:hint="eastAsia" w:ascii="新宋体" w:hAnsi="新宋体" w:eastAsia="新宋体" w:cs="新宋体"/>
          <w:color w:val="auto"/>
          <w:kern w:val="0"/>
          <w:sz w:val="22"/>
          <w:szCs w:val="22"/>
          <w:highlight w:val="none"/>
          <w:lang w:eastAsia="zh-CN"/>
        </w:rPr>
        <w:instrText xml:space="preserve"> HYPERLINK "http://www.creditchina.gov.cn）、" </w:instrText>
      </w:r>
      <w:r>
        <w:rPr>
          <w:rFonts w:hint="eastAsia" w:ascii="新宋体" w:hAnsi="新宋体" w:eastAsia="新宋体" w:cs="新宋体"/>
          <w:color w:val="auto"/>
          <w:kern w:val="0"/>
          <w:sz w:val="22"/>
          <w:szCs w:val="22"/>
          <w:highlight w:val="none"/>
          <w:lang w:eastAsia="zh-CN"/>
        </w:rPr>
        <w:fldChar w:fldCharType="separate"/>
      </w:r>
      <w:r>
        <w:rPr>
          <w:rFonts w:hint="eastAsia" w:ascii="新宋体" w:hAnsi="新宋体" w:eastAsia="新宋体" w:cs="新宋体"/>
          <w:color w:val="auto"/>
          <w:kern w:val="0"/>
          <w:sz w:val="22"/>
          <w:szCs w:val="22"/>
          <w:highlight w:val="none"/>
          <w:lang w:eastAsia="zh-CN"/>
        </w:rPr>
        <w:t>www.creditchina.gov.cn）、</w:t>
      </w:r>
      <w:r>
        <w:rPr>
          <w:rFonts w:hint="eastAsia" w:ascii="新宋体" w:hAnsi="新宋体" w:eastAsia="新宋体" w:cs="新宋体"/>
          <w:color w:val="auto"/>
          <w:kern w:val="0"/>
          <w:sz w:val="22"/>
          <w:szCs w:val="22"/>
          <w:highlight w:val="none"/>
          <w:lang w:eastAsia="zh-CN"/>
        </w:rPr>
        <w:fldChar w:fldCharType="end"/>
      </w:r>
      <w:r>
        <w:rPr>
          <w:rFonts w:hint="eastAsia" w:ascii="新宋体" w:hAnsi="新宋体" w:eastAsia="新宋体" w:cs="新宋体"/>
          <w:color w:val="auto"/>
          <w:kern w:val="0"/>
          <w:sz w:val="22"/>
          <w:szCs w:val="22"/>
          <w:highlight w:val="none"/>
          <w:lang w:eastAsia="zh-CN"/>
        </w:rPr>
        <w:t xml:space="preserve"> 中国政府采购网（www.ccgp.gov.cn）列入失信被执行人名单、重大税收违法案件当事人名单、政府采购严重违法失信行为记录名单。</w:t>
      </w:r>
    </w:p>
    <w:p w14:paraId="6F51999F">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3、我方与参加本次项目同一合同项下政府采购活动的其他供应商不存在单位负责人为同一人或者直接控股、管理关系。</w:t>
      </w:r>
    </w:p>
    <w:p w14:paraId="1883F0FB">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4、我方</w:t>
      </w:r>
      <w:r>
        <w:rPr>
          <w:rFonts w:hint="eastAsia" w:ascii="新宋体" w:hAnsi="新宋体" w:eastAsia="新宋体" w:cs="新宋体"/>
          <w:color w:val="auto"/>
          <w:kern w:val="0"/>
          <w:sz w:val="22"/>
          <w:szCs w:val="22"/>
          <w:highlight w:val="none"/>
          <w:lang w:eastAsia="zh-CN"/>
        </w:rPr>
        <w:t>不属于公益一类事业单位。</w:t>
      </w:r>
    </w:p>
    <w:p w14:paraId="490BB334">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lang w:val="en-US" w:eastAsia="zh-CN"/>
        </w:rPr>
      </w:pPr>
    </w:p>
    <w:p w14:paraId="32E7C8C7">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以上承诺如有虚假，愿接受取消我方任何资格（投标/成交/签订合同）及其他任何形式的处理。</w:t>
      </w:r>
    </w:p>
    <w:p w14:paraId="34FAA8AE">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rPr>
      </w:pPr>
    </w:p>
    <w:p w14:paraId="63D6F7D9">
      <w:pPr>
        <w:keepNext w:val="0"/>
        <w:keepLines w:val="0"/>
        <w:pageBreakBefore w:val="0"/>
        <w:kinsoku/>
        <w:wordWrap/>
        <w:overflowPunct/>
        <w:topLinePunct w:val="0"/>
        <w:autoSpaceDE/>
        <w:autoSpaceDN/>
        <w:bidi w:val="0"/>
        <w:adjustRightInd/>
        <w:snapToGrid w:val="0"/>
        <w:spacing w:line="460" w:lineRule="exact"/>
        <w:ind w:firstLine="5060" w:firstLineChars="2300"/>
        <w:textAlignment w:val="auto"/>
        <w:rPr>
          <w:rFonts w:hint="eastAsia" w:ascii="新宋体" w:hAnsi="新宋体" w:eastAsia="新宋体" w:cs="新宋体"/>
          <w:color w:val="auto"/>
          <w:kern w:val="0"/>
          <w:sz w:val="22"/>
          <w:szCs w:val="22"/>
          <w:highlight w:val="none"/>
          <w:lang w:val="zh-CN"/>
        </w:rPr>
      </w:pPr>
    </w:p>
    <w:p w14:paraId="1339E176">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投标人全称（盖章） ：</w:t>
      </w:r>
    </w:p>
    <w:p w14:paraId="0D5D82A3">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法定代表人或其授权代表（签字或盖章）：</w:t>
      </w:r>
    </w:p>
    <w:p w14:paraId="134904D3">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rPr>
      </w:pPr>
    </w:p>
    <w:p w14:paraId="28D3C36B">
      <w:pPr>
        <w:pStyle w:val="23"/>
        <w:keepNext w:val="0"/>
        <w:keepLines w:val="0"/>
        <w:pageBreakBefore w:val="0"/>
        <w:kinsoku/>
        <w:wordWrap/>
        <w:overflowPunct/>
        <w:topLinePunct w:val="0"/>
        <w:autoSpaceDE/>
        <w:autoSpaceDN/>
        <w:bidi w:val="0"/>
        <w:adjustRightInd/>
        <w:spacing w:line="460" w:lineRule="exact"/>
        <w:ind w:left="479" w:leftChars="228" w:firstLine="5280" w:firstLineChars="24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35E1DDBB">
      <w:pPr>
        <w:bidi w:val="0"/>
        <w:rPr>
          <w:rFonts w:hint="eastAsia" w:ascii="新宋体" w:hAnsi="新宋体" w:eastAsia="新宋体" w:cs="新宋体"/>
          <w:color w:val="auto"/>
          <w:highlight w:val="none"/>
        </w:rPr>
      </w:pPr>
    </w:p>
    <w:p w14:paraId="6C69DB82">
      <w:pPr>
        <w:bidi w:val="0"/>
        <w:rPr>
          <w:rFonts w:hint="eastAsia" w:ascii="新宋体" w:hAnsi="新宋体" w:eastAsia="新宋体" w:cs="新宋体"/>
          <w:color w:val="auto"/>
          <w:highlight w:val="none"/>
        </w:rPr>
      </w:pPr>
    </w:p>
    <w:p w14:paraId="0F97C551">
      <w:pPr>
        <w:bidi w:val="0"/>
        <w:rPr>
          <w:rFonts w:hint="eastAsia" w:ascii="新宋体" w:hAnsi="新宋体" w:eastAsia="新宋体" w:cs="新宋体"/>
          <w:color w:val="auto"/>
          <w:highlight w:val="none"/>
        </w:rPr>
      </w:pPr>
    </w:p>
    <w:p w14:paraId="69FDCEB8">
      <w:pPr>
        <w:rPr>
          <w:rFonts w:hint="eastAsia" w:ascii="新宋体" w:hAnsi="新宋体" w:eastAsia="新宋体" w:cs="新宋体"/>
          <w:b/>
          <w:bCs w:val="0"/>
          <w:color w:val="auto"/>
          <w:kern w:val="0"/>
          <w:sz w:val="28"/>
          <w:szCs w:val="28"/>
          <w:highlight w:val="none"/>
          <w:lang w:val="en-US" w:eastAsia="zh-CN" w:bidi="ar-SA"/>
        </w:rPr>
      </w:pPr>
      <w:r>
        <w:rPr>
          <w:rFonts w:hint="eastAsia" w:ascii="新宋体" w:hAnsi="新宋体" w:eastAsia="新宋体" w:cs="新宋体"/>
          <w:b/>
          <w:bCs w:val="0"/>
          <w:color w:val="auto"/>
          <w:kern w:val="0"/>
          <w:sz w:val="28"/>
          <w:szCs w:val="28"/>
          <w:highlight w:val="none"/>
          <w:lang w:val="en-US" w:eastAsia="zh-CN" w:bidi="ar-SA"/>
        </w:rPr>
        <w:br w:type="page"/>
      </w:r>
    </w:p>
    <w:p w14:paraId="1B435AEC">
      <w:pPr>
        <w:spacing w:line="400" w:lineRule="exact"/>
        <w:jc w:val="center"/>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2、有效营业执照</w:t>
      </w:r>
    </w:p>
    <w:p w14:paraId="2C5E7E34">
      <w:pPr>
        <w:pStyle w:val="49"/>
        <w:keepNext w:val="0"/>
        <w:keepLines w:val="0"/>
        <w:pageBreakBefore w:val="0"/>
        <w:tabs>
          <w:tab w:val="left" w:pos="630"/>
          <w:tab w:val="left" w:pos="840"/>
          <w:tab w:val="left" w:pos="1050"/>
        </w:tabs>
        <w:kinsoku/>
        <w:wordWrap/>
        <w:overflowPunct/>
        <w:topLinePunct w:val="0"/>
        <w:autoSpaceDE/>
        <w:autoSpaceDN/>
        <w:bidi w:val="0"/>
        <w:adjustRightInd w:val="0"/>
        <w:snapToGrid w:val="0"/>
        <w:spacing w:before="0" w:beforeAutospacing="0" w:after="0" w:afterAutospacing="0" w:line="460" w:lineRule="exact"/>
        <w:ind w:left="420"/>
        <w:textAlignment w:val="auto"/>
        <w:rPr>
          <w:rFonts w:hint="eastAsia" w:ascii="新宋体" w:hAnsi="新宋体" w:eastAsia="新宋体" w:cs="新宋体"/>
          <w:bCs/>
          <w:color w:val="auto"/>
          <w:sz w:val="24"/>
          <w:szCs w:val="24"/>
          <w:highlight w:val="none"/>
        </w:rPr>
      </w:pPr>
    </w:p>
    <w:p w14:paraId="7DFCED12">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投标人须在投标文件中出具符合以下情况的证明材料复印件（五选一）：</w:t>
      </w:r>
    </w:p>
    <w:p w14:paraId="36E70C22">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①</w:t>
      </w:r>
      <w:r>
        <w:rPr>
          <w:rFonts w:hint="eastAsia" w:ascii="新宋体" w:hAnsi="新宋体" w:eastAsia="新宋体" w:cs="新宋体"/>
          <w:color w:val="auto"/>
          <w:kern w:val="0"/>
          <w:sz w:val="22"/>
          <w:szCs w:val="22"/>
          <w:highlight w:val="none"/>
          <w:lang w:eastAsia="zh-CN"/>
        </w:rPr>
        <w:t>如投标人是企业（包括合伙企业），提供在工商部门注册的有效“企业法人营业执照”或“营业执照”；</w:t>
      </w:r>
    </w:p>
    <w:p w14:paraId="43BB7960">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②</w:t>
      </w:r>
      <w:r>
        <w:rPr>
          <w:rFonts w:hint="eastAsia" w:ascii="新宋体" w:hAnsi="新宋体" w:eastAsia="新宋体" w:cs="新宋体"/>
          <w:color w:val="auto"/>
          <w:kern w:val="0"/>
          <w:sz w:val="22"/>
          <w:szCs w:val="22"/>
          <w:highlight w:val="none"/>
          <w:lang w:eastAsia="zh-CN"/>
        </w:rPr>
        <w:t>如投标人是事业单位，提供有效的“事业单位法人证书”；</w:t>
      </w:r>
    </w:p>
    <w:p w14:paraId="43783682">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③</w:t>
      </w:r>
      <w:r>
        <w:rPr>
          <w:rFonts w:hint="eastAsia" w:ascii="新宋体" w:hAnsi="新宋体" w:eastAsia="新宋体" w:cs="新宋体"/>
          <w:color w:val="auto"/>
          <w:kern w:val="0"/>
          <w:sz w:val="22"/>
          <w:szCs w:val="22"/>
          <w:highlight w:val="none"/>
          <w:lang w:eastAsia="zh-CN"/>
        </w:rPr>
        <w:t>如投标人是非企业专业服务机构的，提供执业许可证等证明文件；</w:t>
      </w:r>
    </w:p>
    <w:p w14:paraId="12D37BC7">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④</w:t>
      </w:r>
      <w:r>
        <w:rPr>
          <w:rFonts w:hint="eastAsia" w:ascii="新宋体" w:hAnsi="新宋体" w:eastAsia="新宋体" w:cs="新宋体"/>
          <w:color w:val="auto"/>
          <w:kern w:val="0"/>
          <w:sz w:val="22"/>
          <w:szCs w:val="22"/>
          <w:highlight w:val="none"/>
          <w:lang w:eastAsia="zh-CN"/>
        </w:rPr>
        <w:t>如投标人是个体工商户，提供有效的“个体工商户营业执照”；</w:t>
      </w:r>
    </w:p>
    <w:p w14:paraId="05566150">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⑤</w:t>
      </w:r>
      <w:r>
        <w:rPr>
          <w:rFonts w:hint="eastAsia" w:ascii="新宋体" w:hAnsi="新宋体" w:eastAsia="新宋体" w:cs="新宋体"/>
          <w:color w:val="auto"/>
          <w:kern w:val="0"/>
          <w:sz w:val="22"/>
          <w:szCs w:val="22"/>
          <w:highlight w:val="none"/>
          <w:lang w:eastAsia="zh-CN"/>
        </w:rPr>
        <w:t>如投标人是自然人，提供有效的自然人身份证明（居民身份证正反面或公安机关出具的临时居民身份证正反面或港澳台胞证或护照）。</w:t>
      </w:r>
    </w:p>
    <w:p w14:paraId="4873D9B8">
      <w:pPr>
        <w:pStyle w:val="49"/>
        <w:keepNext w:val="0"/>
        <w:keepLines w:val="0"/>
        <w:pageBreakBefore w:val="0"/>
        <w:tabs>
          <w:tab w:val="left" w:pos="312"/>
        </w:tabs>
        <w:kinsoku/>
        <w:wordWrap/>
        <w:overflowPunct/>
        <w:topLinePunct w:val="0"/>
        <w:autoSpaceDE/>
        <w:autoSpaceDN/>
        <w:bidi w:val="0"/>
        <w:adjustRightInd w:val="0"/>
        <w:snapToGrid w:val="0"/>
        <w:spacing w:before="0" w:beforeAutospacing="0" w:after="0" w:afterAutospacing="0" w:line="460" w:lineRule="exact"/>
        <w:textAlignment w:val="auto"/>
        <w:rPr>
          <w:rFonts w:hint="eastAsia" w:ascii="新宋体" w:hAnsi="新宋体" w:eastAsia="新宋体" w:cs="新宋体"/>
          <w:bCs/>
          <w:color w:val="auto"/>
          <w:sz w:val="22"/>
          <w:szCs w:val="22"/>
          <w:highlight w:val="none"/>
        </w:rPr>
      </w:pPr>
    </w:p>
    <w:p w14:paraId="629CF1FF">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14:paraId="09D00BD3">
      <w:pPr>
        <w:keepNext w:val="0"/>
        <w:keepLines w:val="0"/>
        <w:pageBreakBefore w:val="0"/>
        <w:kinsoku/>
        <w:wordWrap/>
        <w:overflowPunct/>
        <w:topLinePunct w:val="0"/>
        <w:autoSpaceDE/>
        <w:autoSpaceDN/>
        <w:bidi w:val="0"/>
        <w:spacing w:line="460" w:lineRule="exact"/>
        <w:textAlignment w:val="auto"/>
        <w:rPr>
          <w:rFonts w:hint="eastAsia" w:ascii="新宋体" w:hAnsi="新宋体" w:eastAsia="新宋体" w:cs="新宋体"/>
          <w:color w:val="auto"/>
          <w:highlight w:val="none"/>
        </w:rPr>
      </w:pPr>
    </w:p>
    <w:p w14:paraId="7D7A498D">
      <w:pPr>
        <w:keepNext w:val="0"/>
        <w:keepLines w:val="0"/>
        <w:pageBreakBefore w:val="0"/>
        <w:kinsoku/>
        <w:wordWrap/>
        <w:overflowPunct/>
        <w:topLinePunct w:val="0"/>
        <w:autoSpaceDE/>
        <w:autoSpaceDN/>
        <w:bidi w:val="0"/>
        <w:spacing w:line="460" w:lineRule="exact"/>
        <w:textAlignment w:val="auto"/>
        <w:rPr>
          <w:rFonts w:hint="eastAsia" w:ascii="新宋体" w:hAnsi="新宋体" w:eastAsia="新宋体" w:cs="新宋体"/>
          <w:color w:val="auto"/>
          <w:highlight w:val="none"/>
        </w:rPr>
      </w:pPr>
      <w:r>
        <w:rPr>
          <w:rFonts w:hint="eastAsia" w:ascii="新宋体" w:hAnsi="新宋体" w:eastAsia="新宋体" w:cs="新宋体"/>
          <w:color w:val="auto"/>
          <w:highlight w:val="none"/>
        </w:rPr>
        <w:br w:type="page"/>
      </w:r>
    </w:p>
    <w:p w14:paraId="29757223">
      <w:pPr>
        <w:spacing w:line="400" w:lineRule="exact"/>
        <w:jc w:val="center"/>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lang w:val="en-US" w:eastAsia="zh-CN"/>
        </w:rPr>
        <w:t>3、</w:t>
      </w:r>
      <w:r>
        <w:rPr>
          <w:rFonts w:hint="eastAsia" w:ascii="新宋体" w:hAnsi="新宋体" w:eastAsia="新宋体" w:cs="新宋体"/>
          <w:b/>
          <w:bCs/>
          <w:color w:val="auto"/>
          <w:sz w:val="28"/>
          <w:szCs w:val="28"/>
          <w:highlight w:val="none"/>
        </w:rPr>
        <w:t>投标人信用查询</w:t>
      </w:r>
    </w:p>
    <w:p w14:paraId="15657FC1">
      <w:pPr>
        <w:tabs>
          <w:tab w:val="left" w:pos="360"/>
        </w:tabs>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1</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投标人信用信息查询的查询渠道：“信用中国”（https://www.creditchina.gov.cn/）；“中国政府采购网”（http://www.ccgp.gov.cn/）；</w:t>
      </w:r>
    </w:p>
    <w:p w14:paraId="1B0EED86">
      <w:pPr>
        <w:tabs>
          <w:tab w:val="left" w:pos="360"/>
        </w:tabs>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2</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投标人信用信息查询截止时点：招标公告发布之日至投标截止时间前。</w:t>
      </w:r>
    </w:p>
    <w:p w14:paraId="5473B352">
      <w:pPr>
        <w:tabs>
          <w:tab w:val="left" w:pos="360"/>
        </w:tabs>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3</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投标人信用信息查询记录和证据留存的具体方式：网页截图；</w:t>
      </w:r>
    </w:p>
    <w:p w14:paraId="38C92D48">
      <w:pPr>
        <w:tabs>
          <w:tab w:val="left" w:pos="360"/>
        </w:tabs>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highlight w:val="none"/>
          <w:u w:val="single"/>
          <w:lang w:eastAsia="zh-CN"/>
        </w:rPr>
        <w:t>（</w:t>
      </w:r>
      <w:r>
        <w:rPr>
          <w:rFonts w:hint="eastAsia" w:ascii="新宋体" w:hAnsi="新宋体" w:eastAsia="新宋体" w:cs="新宋体"/>
          <w:b/>
          <w:bCs/>
          <w:color w:val="auto"/>
          <w:sz w:val="22"/>
          <w:highlight w:val="none"/>
          <w:u w:val="single"/>
        </w:rPr>
        <w:t>4</w:t>
      </w:r>
      <w:r>
        <w:rPr>
          <w:rFonts w:hint="eastAsia" w:ascii="新宋体" w:hAnsi="新宋体" w:eastAsia="新宋体" w:cs="新宋体"/>
          <w:b/>
          <w:bCs/>
          <w:color w:val="auto"/>
          <w:sz w:val="22"/>
          <w:highlight w:val="none"/>
          <w:u w:val="single"/>
          <w:lang w:eastAsia="zh-CN"/>
        </w:rPr>
        <w:t>）</w:t>
      </w:r>
      <w:r>
        <w:rPr>
          <w:rFonts w:hint="eastAsia" w:ascii="新宋体" w:hAnsi="新宋体" w:eastAsia="新宋体" w:cs="新宋体"/>
          <w:b/>
          <w:bCs/>
          <w:color w:val="auto"/>
          <w:sz w:val="22"/>
          <w:highlight w:val="none"/>
          <w:u w:val="single"/>
        </w:rPr>
        <w:t>信用信息的使用规则：对列入失信被执行人、重大税收违法案件当事人名单、政府采购严重违法失信行为记录名单及其他不符合《中华人民共和国政府采购法》第二十二条规定条件的投标人，其投标做无效投标处理。</w:t>
      </w:r>
    </w:p>
    <w:p w14:paraId="1FC62921">
      <w:pPr>
        <w:tabs>
          <w:tab w:val="left" w:pos="360"/>
        </w:tabs>
        <w:spacing w:line="460" w:lineRule="exact"/>
        <w:ind w:firstLine="442" w:firstLineChars="200"/>
        <w:rPr>
          <w:rFonts w:hint="eastAsia" w:ascii="新宋体" w:hAnsi="新宋体" w:eastAsia="新宋体" w:cs="新宋体"/>
          <w:b/>
          <w:bCs/>
          <w:color w:val="auto"/>
          <w:sz w:val="22"/>
          <w:highlight w:val="none"/>
          <w:u w:val="single"/>
          <w:lang w:eastAsia="zh-CN"/>
        </w:rPr>
      </w:pPr>
      <w:r>
        <w:rPr>
          <w:rFonts w:hint="eastAsia" w:ascii="新宋体" w:hAnsi="新宋体" w:eastAsia="新宋体" w:cs="新宋体"/>
          <w:b/>
          <w:bCs/>
          <w:color w:val="auto"/>
          <w:sz w:val="22"/>
          <w:highlight w:val="none"/>
          <w:u w:val="single"/>
          <w:lang w:val="en-US" w:eastAsia="zh-CN"/>
        </w:rPr>
        <w:t>（5）</w:t>
      </w:r>
      <w:r>
        <w:rPr>
          <w:rFonts w:hint="eastAsia" w:ascii="新宋体" w:hAnsi="新宋体" w:eastAsia="新宋体" w:cs="新宋体"/>
          <w:b/>
          <w:bCs/>
          <w:color w:val="auto"/>
          <w:sz w:val="22"/>
          <w:highlight w:val="none"/>
          <w:u w:val="single"/>
          <w:lang w:eastAsia="zh-CN"/>
        </w:rPr>
        <w:t>联合体投标时，对所有联合体成员进行信用记录查询，联合体成员存在不良信用记录的，视同联合体存在不良信用记录。</w:t>
      </w:r>
    </w:p>
    <w:p w14:paraId="616F3B2A">
      <w:pPr>
        <w:bidi w:val="0"/>
        <w:rPr>
          <w:rFonts w:hint="eastAsia"/>
          <w:color w:val="auto"/>
          <w:highlight w:val="none"/>
          <w:lang w:eastAsia="zh-CN"/>
        </w:rPr>
      </w:pPr>
    </w:p>
    <w:p w14:paraId="797CF668">
      <w:pPr>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br w:type="page"/>
      </w:r>
    </w:p>
    <w:p w14:paraId="29FC18F6">
      <w:pPr>
        <w:spacing w:line="400" w:lineRule="exact"/>
        <w:jc w:val="center"/>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4、符合财政扶持价格优惠政策的证明材料</w:t>
      </w:r>
    </w:p>
    <w:p w14:paraId="7831EC5D">
      <w:pPr>
        <w:bidi w:val="0"/>
        <w:rPr>
          <w:rFonts w:hint="eastAsia" w:ascii="新宋体" w:hAnsi="新宋体" w:eastAsia="新宋体" w:cs="新宋体"/>
          <w:color w:val="auto"/>
          <w:highlight w:val="none"/>
          <w:lang w:val="en-US" w:eastAsia="zh-CN"/>
        </w:rPr>
      </w:pPr>
    </w:p>
    <w:p w14:paraId="128F0833">
      <w:pPr>
        <w:spacing w:line="400" w:lineRule="exact"/>
        <w:jc w:val="center"/>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（1）中小企业的相关证明材料</w:t>
      </w:r>
    </w:p>
    <w:p w14:paraId="2B548A35">
      <w:pPr>
        <w:snapToGrid w:val="0"/>
        <w:spacing w:line="460" w:lineRule="exact"/>
        <w:jc w:val="center"/>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【非</w:t>
      </w:r>
      <w:r>
        <w:rPr>
          <w:rFonts w:hint="eastAsia" w:ascii="新宋体" w:hAnsi="新宋体" w:eastAsia="新宋体" w:cs="新宋体"/>
          <w:color w:val="auto"/>
          <w:spacing w:val="6"/>
          <w:sz w:val="22"/>
          <w:szCs w:val="22"/>
          <w:highlight w:val="none"/>
          <w:lang w:val="zh-CN"/>
        </w:rPr>
        <w:t>小型、微型</w:t>
      </w:r>
      <w:r>
        <w:rPr>
          <w:rFonts w:hint="eastAsia" w:ascii="新宋体" w:hAnsi="新宋体" w:eastAsia="新宋体" w:cs="新宋体"/>
          <w:color w:val="auto"/>
          <w:spacing w:val="6"/>
          <w:sz w:val="22"/>
          <w:szCs w:val="22"/>
          <w:highlight w:val="none"/>
        </w:rPr>
        <w:t>企业不用提供】</w:t>
      </w:r>
    </w:p>
    <w:p w14:paraId="231D88D2">
      <w:pPr>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根据《政府采购促进中小企业发展管理办法》（财库〔2020〕46号）、《财政部关于进一步加大政府采购支持中小企业力度的通知》（财库〔2022〕19号）有关规定，对货物类项目投标产品为小型或微型企业生产的，工程、服务类项目由小型或微型企业承建、承接的，</w:t>
      </w:r>
      <w:r>
        <w:rPr>
          <w:rFonts w:hint="eastAsia" w:ascii="新宋体" w:hAnsi="新宋体" w:eastAsia="新宋体" w:cs="新宋体"/>
          <w:b/>
          <w:bCs/>
          <w:color w:val="auto"/>
          <w:sz w:val="22"/>
          <w:szCs w:val="22"/>
          <w:highlight w:val="none"/>
          <w:u w:val="single"/>
          <w:lang w:val="zh-CN"/>
        </w:rPr>
        <w:t>价格给予</w:t>
      </w:r>
      <w:r>
        <w:rPr>
          <w:rFonts w:hint="eastAsia" w:ascii="新宋体" w:hAnsi="新宋体" w:eastAsia="新宋体" w:cs="新宋体"/>
          <w:b/>
          <w:bCs/>
          <w:color w:val="auto"/>
          <w:sz w:val="22"/>
          <w:szCs w:val="22"/>
          <w:highlight w:val="none"/>
          <w:u w:val="single"/>
        </w:rPr>
        <w:t>10</w:t>
      </w:r>
      <w:r>
        <w:rPr>
          <w:rFonts w:hint="eastAsia" w:ascii="新宋体" w:hAnsi="新宋体" w:eastAsia="新宋体" w:cs="新宋体"/>
          <w:b/>
          <w:bCs/>
          <w:color w:val="auto"/>
          <w:sz w:val="22"/>
          <w:szCs w:val="22"/>
          <w:highlight w:val="none"/>
          <w:u w:val="single"/>
          <w:lang w:val="zh-CN"/>
        </w:rPr>
        <w:t>%的扣除</w:t>
      </w:r>
      <w:r>
        <w:rPr>
          <w:rFonts w:hint="eastAsia" w:ascii="新宋体" w:hAnsi="新宋体" w:eastAsia="新宋体" w:cs="新宋体"/>
          <w:color w:val="auto"/>
          <w:sz w:val="22"/>
          <w:szCs w:val="22"/>
          <w:highlight w:val="none"/>
          <w:lang w:val="zh-CN"/>
        </w:rPr>
        <w:t>，用扣除后的价格参与价格评分。</w:t>
      </w:r>
    </w:p>
    <w:p w14:paraId="5730B64E">
      <w:pPr>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zh-CN"/>
        </w:rPr>
        <w:t>投标文件中必须提供《中小企业声明函》。</w:t>
      </w:r>
    </w:p>
    <w:p w14:paraId="381B9E10">
      <w:pPr>
        <w:spacing w:line="460" w:lineRule="exact"/>
        <w:jc w:val="center"/>
        <w:rPr>
          <w:rFonts w:hint="eastAsia" w:ascii="新宋体" w:hAnsi="新宋体" w:eastAsia="新宋体" w:cs="新宋体"/>
          <w:b/>
          <w:bCs/>
          <w:color w:val="auto"/>
          <w:sz w:val="22"/>
          <w:szCs w:val="22"/>
          <w:highlight w:val="none"/>
        </w:rPr>
      </w:pPr>
    </w:p>
    <w:p w14:paraId="4AB7A70B">
      <w:pPr>
        <w:spacing w:line="460" w:lineRule="exact"/>
        <w:jc w:val="center"/>
        <w:rPr>
          <w:rFonts w:hint="eastAsia" w:ascii="新宋体" w:hAnsi="新宋体" w:eastAsia="新宋体" w:cs="新宋体"/>
          <w:color w:val="auto"/>
          <w:sz w:val="24"/>
          <w:highlight w:val="none"/>
        </w:rPr>
      </w:pPr>
      <w:r>
        <w:rPr>
          <w:rFonts w:hint="eastAsia" w:ascii="新宋体" w:hAnsi="新宋体" w:eastAsia="新宋体" w:cs="新宋体"/>
          <w:b/>
          <w:bCs/>
          <w:color w:val="auto"/>
          <w:sz w:val="24"/>
          <w:highlight w:val="none"/>
        </w:rPr>
        <w:t>《中小企业声明函（工程、服务）》</w:t>
      </w:r>
    </w:p>
    <w:p w14:paraId="32875AAC">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【不属于中小企业单位的无需填写、递交】</w:t>
      </w:r>
    </w:p>
    <w:p w14:paraId="2ADF04B3">
      <w:pPr>
        <w:spacing w:line="460" w:lineRule="exact"/>
        <w:ind w:firstLine="637" w:firstLineChars="245"/>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本公司（联合体）郑重声明，根据《政府采购促进中小企业发展管理办法》（财库﹝2020）46 号）的规定，本公司（联合体）参加</w:t>
      </w:r>
      <w:r>
        <w:rPr>
          <w:rFonts w:hint="eastAsia" w:ascii="新宋体" w:hAnsi="新宋体" w:eastAsia="新宋体" w:cs="新宋体"/>
          <w:color w:val="auto"/>
          <w:spacing w:val="20"/>
          <w:sz w:val="22"/>
          <w:szCs w:val="22"/>
          <w:highlight w:val="none"/>
          <w:u w:val="single"/>
        </w:rPr>
        <w:t>（单位名称）</w:t>
      </w:r>
      <w:r>
        <w:rPr>
          <w:rFonts w:hint="eastAsia" w:ascii="新宋体" w:hAnsi="新宋体" w:eastAsia="新宋体" w:cs="新宋体"/>
          <w:color w:val="auto"/>
          <w:spacing w:val="20"/>
          <w:sz w:val="22"/>
          <w:szCs w:val="22"/>
          <w:highlight w:val="none"/>
        </w:rPr>
        <w:t>的</w:t>
      </w:r>
      <w:r>
        <w:rPr>
          <w:rFonts w:hint="eastAsia" w:ascii="新宋体" w:hAnsi="新宋体" w:eastAsia="新宋体" w:cs="新宋体"/>
          <w:color w:val="auto"/>
          <w:spacing w:val="20"/>
          <w:sz w:val="22"/>
          <w:szCs w:val="22"/>
          <w:highlight w:val="none"/>
          <w:u w:val="single"/>
        </w:rPr>
        <w:t>（项目名称）</w:t>
      </w:r>
      <w:r>
        <w:rPr>
          <w:rFonts w:hint="eastAsia" w:ascii="新宋体" w:hAnsi="新宋体" w:eastAsia="新宋体" w:cs="新宋体"/>
          <w:color w:val="auto"/>
          <w:spacing w:val="20"/>
          <w:sz w:val="22"/>
          <w:szCs w:val="22"/>
          <w:highlight w:val="none"/>
        </w:rPr>
        <w:t xml:space="preserve">采购活动，工程的施工单位全部为符合政策要求的中小企业（或者：服务全部由符合政策要求的中小企业承接）。相关企业（含联合体中的中小企业、签订分包意向协议的中小企业）的具体情况如下： </w:t>
      </w:r>
    </w:p>
    <w:p w14:paraId="06CC74CB">
      <w:pPr>
        <w:spacing w:line="460" w:lineRule="exact"/>
        <w:ind w:firstLine="637" w:firstLineChars="245"/>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1.</w:t>
      </w:r>
      <w:r>
        <w:rPr>
          <w:rFonts w:hint="eastAsia" w:ascii="新宋体" w:hAnsi="新宋体" w:eastAsia="新宋体" w:cs="新宋体"/>
          <w:color w:val="auto"/>
          <w:spacing w:val="20"/>
          <w:sz w:val="22"/>
          <w:szCs w:val="22"/>
          <w:highlight w:val="none"/>
          <w:u w:val="single"/>
        </w:rPr>
        <w:t>（标的名称）</w:t>
      </w:r>
      <w:r>
        <w:rPr>
          <w:rFonts w:hint="eastAsia" w:ascii="新宋体" w:hAnsi="新宋体" w:eastAsia="新宋体" w:cs="新宋体"/>
          <w:color w:val="auto"/>
          <w:spacing w:val="20"/>
          <w:sz w:val="22"/>
          <w:szCs w:val="22"/>
          <w:highlight w:val="none"/>
        </w:rPr>
        <w:t>，属于</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行业； 承建（承接）企业为</w:t>
      </w:r>
      <w:r>
        <w:rPr>
          <w:rFonts w:hint="eastAsia" w:ascii="新宋体" w:hAnsi="新宋体" w:eastAsia="新宋体" w:cs="新宋体"/>
          <w:color w:val="auto"/>
          <w:spacing w:val="20"/>
          <w:sz w:val="22"/>
          <w:szCs w:val="22"/>
          <w:highlight w:val="none"/>
          <w:u w:val="single"/>
        </w:rPr>
        <w:t>（企业名称）</w:t>
      </w:r>
      <w:r>
        <w:rPr>
          <w:rFonts w:hint="eastAsia" w:ascii="新宋体" w:hAnsi="新宋体" w:eastAsia="新宋体" w:cs="新宋体"/>
          <w:color w:val="auto"/>
          <w:spacing w:val="20"/>
          <w:sz w:val="22"/>
          <w:szCs w:val="22"/>
          <w:highlight w:val="none"/>
        </w:rPr>
        <w:t>，从业人员</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人，营业收入为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万元，资产总额为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万元，属于</w:t>
      </w:r>
      <w:r>
        <w:rPr>
          <w:rFonts w:hint="eastAsia" w:ascii="新宋体" w:hAnsi="新宋体" w:eastAsia="新宋体" w:cs="新宋体"/>
          <w:color w:val="auto"/>
          <w:spacing w:val="20"/>
          <w:sz w:val="22"/>
          <w:szCs w:val="22"/>
          <w:highlight w:val="none"/>
          <w:u w:val="single"/>
        </w:rPr>
        <w:t>（中型企业、 小型企业、微型企业）</w:t>
      </w:r>
      <w:r>
        <w:rPr>
          <w:rFonts w:hint="eastAsia" w:ascii="新宋体" w:hAnsi="新宋体" w:eastAsia="新宋体" w:cs="新宋体"/>
          <w:color w:val="auto"/>
          <w:spacing w:val="20"/>
          <w:sz w:val="22"/>
          <w:szCs w:val="22"/>
          <w:highlight w:val="none"/>
        </w:rPr>
        <w:t xml:space="preserve">； </w:t>
      </w:r>
    </w:p>
    <w:p w14:paraId="7E59997E">
      <w:pPr>
        <w:spacing w:line="460" w:lineRule="exact"/>
        <w:ind w:firstLine="637" w:firstLineChars="245"/>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2.</w:t>
      </w:r>
      <w:r>
        <w:rPr>
          <w:rFonts w:hint="eastAsia" w:ascii="新宋体" w:hAnsi="新宋体" w:eastAsia="新宋体" w:cs="新宋体"/>
          <w:color w:val="auto"/>
          <w:spacing w:val="20"/>
          <w:sz w:val="22"/>
          <w:szCs w:val="22"/>
          <w:highlight w:val="none"/>
          <w:u w:val="single"/>
        </w:rPr>
        <w:t>（标的名称）</w:t>
      </w:r>
      <w:r>
        <w:rPr>
          <w:rFonts w:hint="eastAsia" w:ascii="新宋体" w:hAnsi="新宋体" w:eastAsia="新宋体" w:cs="新宋体"/>
          <w:color w:val="auto"/>
          <w:spacing w:val="20"/>
          <w:sz w:val="22"/>
          <w:szCs w:val="22"/>
          <w:highlight w:val="none"/>
        </w:rPr>
        <w:t>，属于</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行业；承建（承接）企业为</w:t>
      </w:r>
      <w:r>
        <w:rPr>
          <w:rFonts w:hint="eastAsia" w:ascii="新宋体" w:hAnsi="新宋体" w:eastAsia="新宋体" w:cs="新宋体"/>
          <w:color w:val="auto"/>
          <w:spacing w:val="20"/>
          <w:sz w:val="22"/>
          <w:szCs w:val="22"/>
          <w:highlight w:val="none"/>
          <w:u w:val="single"/>
        </w:rPr>
        <w:t>（企业名称）</w:t>
      </w:r>
      <w:r>
        <w:rPr>
          <w:rFonts w:hint="eastAsia" w:ascii="新宋体" w:hAnsi="新宋体" w:eastAsia="新宋体" w:cs="新宋体"/>
          <w:color w:val="auto"/>
          <w:spacing w:val="20"/>
          <w:sz w:val="22"/>
          <w:szCs w:val="22"/>
          <w:highlight w:val="none"/>
        </w:rPr>
        <w:t>，从业人员</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人，营业收入为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万元，资产总额为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万元，属于</w:t>
      </w:r>
      <w:r>
        <w:rPr>
          <w:rFonts w:hint="eastAsia" w:ascii="新宋体" w:hAnsi="新宋体" w:eastAsia="新宋体" w:cs="新宋体"/>
          <w:color w:val="auto"/>
          <w:spacing w:val="20"/>
          <w:sz w:val="22"/>
          <w:szCs w:val="22"/>
          <w:highlight w:val="none"/>
          <w:u w:val="single"/>
        </w:rPr>
        <w:t>（中型企业、 小型企业、微型企业）</w:t>
      </w:r>
      <w:r>
        <w:rPr>
          <w:rFonts w:hint="eastAsia" w:ascii="新宋体" w:hAnsi="新宋体" w:eastAsia="新宋体" w:cs="新宋体"/>
          <w:color w:val="auto"/>
          <w:spacing w:val="20"/>
          <w:sz w:val="22"/>
          <w:szCs w:val="22"/>
          <w:highlight w:val="none"/>
        </w:rPr>
        <w:t>；</w:t>
      </w:r>
    </w:p>
    <w:p w14:paraId="00BDBAC9">
      <w:pPr>
        <w:spacing w:line="460" w:lineRule="exact"/>
        <w:ind w:firstLine="639" w:firstLineChars="245"/>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w:t>
      </w:r>
    </w:p>
    <w:p w14:paraId="3A96E376">
      <w:pPr>
        <w:spacing w:line="460" w:lineRule="exact"/>
        <w:ind w:firstLine="637" w:firstLineChars="245"/>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 xml:space="preserve">以上企业，不属于大企业的分支机构，不存在控股股东为大企业的情形，也不存在与大企业的负责人为同一人的情形。本企业对上述声明内容的真实性负责。如有虚假，将依法承担相应责任。 </w:t>
      </w:r>
    </w:p>
    <w:p w14:paraId="015696FD">
      <w:pPr>
        <w:spacing w:line="460" w:lineRule="exact"/>
        <w:ind w:firstLine="4940" w:firstLineChars="1900"/>
        <w:jc w:val="both"/>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企业名称（盖章）：</w:t>
      </w:r>
    </w:p>
    <w:p w14:paraId="735D087C">
      <w:pPr>
        <w:spacing w:line="460" w:lineRule="exact"/>
        <w:ind w:firstLine="4940" w:firstLineChars="1900"/>
        <w:jc w:val="both"/>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日 期：</w:t>
      </w:r>
    </w:p>
    <w:p w14:paraId="54F82083">
      <w:pPr>
        <w:spacing w:line="460" w:lineRule="exact"/>
        <w:rPr>
          <w:rFonts w:hint="eastAsia" w:ascii="新宋体" w:hAnsi="新宋体" w:eastAsia="新宋体" w:cs="新宋体"/>
          <w:color w:val="auto"/>
          <w:spacing w:val="20"/>
          <w:sz w:val="22"/>
          <w:szCs w:val="22"/>
          <w:highlight w:val="none"/>
        </w:rPr>
      </w:pPr>
    </w:p>
    <w:p w14:paraId="3EBE7C48">
      <w:pPr>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br w:type="page"/>
      </w:r>
    </w:p>
    <w:p w14:paraId="3941EF42">
      <w:pPr>
        <w:spacing w:line="400" w:lineRule="exact"/>
        <w:jc w:val="center"/>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（2）监狱企业的相关证明材料</w:t>
      </w:r>
    </w:p>
    <w:p w14:paraId="3D3418B7">
      <w:pPr>
        <w:spacing w:line="460" w:lineRule="exact"/>
        <w:ind w:firstLine="466" w:firstLineChars="200"/>
        <w:rPr>
          <w:rFonts w:hint="eastAsia" w:ascii="新宋体" w:hAnsi="新宋体" w:eastAsia="新宋体" w:cs="新宋体"/>
          <w:b/>
          <w:bCs/>
          <w:color w:val="auto"/>
          <w:sz w:val="22"/>
          <w:szCs w:val="22"/>
          <w:highlight w:val="none"/>
          <w:u w:val="single"/>
          <w:lang w:val="zh-CN"/>
        </w:rPr>
      </w:pPr>
      <w:r>
        <w:rPr>
          <w:rFonts w:hint="eastAsia" w:ascii="新宋体" w:hAnsi="新宋体" w:eastAsia="新宋体" w:cs="新宋体"/>
          <w:b/>
          <w:color w:val="auto"/>
          <w:spacing w:val="6"/>
          <w:sz w:val="22"/>
          <w:szCs w:val="22"/>
          <w:highlight w:val="none"/>
        </w:rPr>
        <w:t>需提供相关证明材料，</w:t>
      </w:r>
      <w:r>
        <w:rPr>
          <w:rFonts w:hint="eastAsia" w:ascii="新宋体" w:hAnsi="新宋体" w:eastAsia="新宋体" w:cs="新宋体"/>
          <w:b/>
          <w:bCs/>
          <w:color w:val="auto"/>
          <w:sz w:val="22"/>
          <w:szCs w:val="22"/>
          <w:highlight w:val="none"/>
          <w:u w:val="single"/>
          <w:lang w:val="zh-CN"/>
        </w:rPr>
        <w:t>未提供证明材料或不能清楚辨析</w:t>
      </w:r>
      <w:r>
        <w:rPr>
          <w:rFonts w:hint="eastAsia" w:ascii="新宋体" w:hAnsi="新宋体" w:eastAsia="新宋体" w:cs="新宋体"/>
          <w:b/>
          <w:bCs/>
          <w:color w:val="auto"/>
          <w:sz w:val="22"/>
          <w:szCs w:val="22"/>
          <w:highlight w:val="none"/>
          <w:u w:val="single"/>
        </w:rPr>
        <w:t>是监狱企业的按非监狱企业处理，所提供的证明材料应为最新的最近的</w:t>
      </w:r>
      <w:r>
        <w:rPr>
          <w:rFonts w:hint="eastAsia" w:ascii="新宋体" w:hAnsi="新宋体" w:eastAsia="新宋体" w:cs="新宋体"/>
          <w:b/>
          <w:bCs/>
          <w:color w:val="auto"/>
          <w:sz w:val="22"/>
          <w:szCs w:val="22"/>
          <w:highlight w:val="none"/>
          <w:u w:val="single"/>
          <w:lang w:val="zh-CN"/>
        </w:rPr>
        <w:t>。</w:t>
      </w:r>
    </w:p>
    <w:p w14:paraId="2350BE77">
      <w:pPr>
        <w:adjustRightInd w:val="0"/>
        <w:snapToGrid w:val="0"/>
        <w:spacing w:line="300" w:lineRule="auto"/>
        <w:jc w:val="center"/>
        <w:rPr>
          <w:rFonts w:hint="eastAsia" w:ascii="新宋体" w:hAnsi="新宋体" w:eastAsia="新宋体" w:cs="新宋体"/>
          <w:b/>
          <w:color w:val="auto"/>
          <w:spacing w:val="6"/>
          <w:sz w:val="22"/>
          <w:szCs w:val="22"/>
          <w:highlight w:val="none"/>
        </w:rPr>
      </w:pPr>
    </w:p>
    <w:p w14:paraId="1277DEB0">
      <w:pPr>
        <w:adjustRightInd w:val="0"/>
        <w:snapToGrid w:val="0"/>
        <w:spacing w:line="300" w:lineRule="auto"/>
        <w:jc w:val="center"/>
        <w:rPr>
          <w:rFonts w:hint="eastAsia" w:ascii="新宋体" w:hAnsi="新宋体" w:eastAsia="新宋体" w:cs="新宋体"/>
          <w:b/>
          <w:color w:val="auto"/>
          <w:spacing w:val="6"/>
          <w:sz w:val="22"/>
          <w:szCs w:val="22"/>
          <w:highlight w:val="none"/>
        </w:rPr>
      </w:pPr>
    </w:p>
    <w:p w14:paraId="6C7233C0">
      <w:pPr>
        <w:adjustRightInd w:val="0"/>
        <w:snapToGrid w:val="0"/>
        <w:spacing w:line="300" w:lineRule="auto"/>
        <w:jc w:val="center"/>
        <w:rPr>
          <w:rFonts w:hint="eastAsia" w:ascii="新宋体" w:hAnsi="新宋体" w:eastAsia="新宋体" w:cs="新宋体"/>
          <w:b/>
          <w:color w:val="auto"/>
          <w:spacing w:val="6"/>
          <w:sz w:val="22"/>
          <w:szCs w:val="22"/>
          <w:highlight w:val="none"/>
        </w:rPr>
      </w:pPr>
    </w:p>
    <w:p w14:paraId="4F4F275E">
      <w:pPr>
        <w:adjustRightInd w:val="0"/>
        <w:snapToGrid w:val="0"/>
        <w:spacing w:line="30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b/>
          <w:color w:val="auto"/>
          <w:spacing w:val="6"/>
          <w:sz w:val="22"/>
          <w:szCs w:val="22"/>
          <w:highlight w:val="none"/>
        </w:rPr>
        <w:t>监狱企业声明函</w:t>
      </w:r>
    </w:p>
    <w:p w14:paraId="0991F9AF">
      <w:pPr>
        <w:snapToGrid w:val="0"/>
        <w:spacing w:line="460" w:lineRule="exact"/>
        <w:jc w:val="center"/>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【非监狱企业不用提供】</w:t>
      </w:r>
    </w:p>
    <w:p w14:paraId="3A7009D7">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本企业郑重声明，根据《关于政府采购支持监狱企业发展有关问题的通知》（财库[2014]68号）的规定，本企业为监狱企业。 </w:t>
      </w:r>
    </w:p>
    <w:p w14:paraId="5E0C76BA">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根据上述标准，我企业属于监狱企业的理由为：</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 xml:space="preserve">。 </w:t>
      </w:r>
    </w:p>
    <w:p w14:paraId="13C16095">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本企业为参加（招标项目名称</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）（招标编号</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 xml:space="preserve">）采购活动并承担本工程。 </w:t>
      </w:r>
    </w:p>
    <w:p w14:paraId="76E824B8">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本企业对上述声明的真实性负责。如有虚假，将依法承担相应责任。  </w:t>
      </w:r>
    </w:p>
    <w:p w14:paraId="6CAD26DB">
      <w:pPr>
        <w:adjustRightInd w:val="0"/>
        <w:snapToGrid w:val="0"/>
        <w:spacing w:line="460" w:lineRule="exact"/>
        <w:ind w:firstLine="464"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投标人全称（盖章）</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 xml:space="preserve">                   </w:t>
      </w:r>
    </w:p>
    <w:p w14:paraId="630CC246">
      <w:pPr>
        <w:adjustRightInd w:val="0"/>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xml:space="preserve">日期：    年    月   日 </w:t>
      </w:r>
    </w:p>
    <w:p w14:paraId="69BB80ED">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监狱企业参加政府采购活动时，应当提供由省级以上监狱管理局、戒毒管理局（含新疆生产建设兵团）出具的属于监狱企业的证明文件。 </w:t>
      </w:r>
    </w:p>
    <w:p w14:paraId="527ADA8D">
      <w:pPr>
        <w:adjustRightInd w:val="0"/>
        <w:snapToGrid w:val="0"/>
        <w:spacing w:line="460" w:lineRule="exact"/>
        <w:ind w:firstLine="464"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3A64987C">
      <w:pPr>
        <w:spacing w:line="460" w:lineRule="exact"/>
        <w:rPr>
          <w:rFonts w:hint="eastAsia" w:ascii="新宋体" w:hAnsi="新宋体" w:eastAsia="新宋体" w:cs="新宋体"/>
          <w:color w:val="auto"/>
          <w:spacing w:val="20"/>
          <w:sz w:val="22"/>
          <w:szCs w:val="22"/>
          <w:highlight w:val="none"/>
        </w:rPr>
      </w:pPr>
    </w:p>
    <w:p w14:paraId="10929A69">
      <w:pPr>
        <w:spacing w:line="460" w:lineRule="exact"/>
        <w:rPr>
          <w:rFonts w:hint="eastAsia" w:ascii="新宋体" w:hAnsi="新宋体" w:eastAsia="新宋体" w:cs="新宋体"/>
          <w:color w:val="auto"/>
          <w:spacing w:val="20"/>
          <w:sz w:val="22"/>
          <w:szCs w:val="22"/>
          <w:highlight w:val="none"/>
        </w:rPr>
      </w:pPr>
    </w:p>
    <w:p w14:paraId="592BB5F8">
      <w:pPr>
        <w:spacing w:line="380" w:lineRule="exact"/>
        <w:rPr>
          <w:rFonts w:hint="eastAsia" w:ascii="新宋体" w:hAnsi="新宋体" w:eastAsia="新宋体" w:cs="新宋体"/>
          <w:color w:val="auto"/>
          <w:sz w:val="22"/>
          <w:szCs w:val="22"/>
          <w:highlight w:val="none"/>
        </w:rPr>
      </w:pPr>
    </w:p>
    <w:p w14:paraId="4970661D">
      <w:pPr>
        <w:spacing w:line="380" w:lineRule="exact"/>
        <w:rPr>
          <w:rFonts w:hint="eastAsia" w:ascii="新宋体" w:hAnsi="新宋体" w:eastAsia="新宋体" w:cs="新宋体"/>
          <w:color w:val="auto"/>
          <w:sz w:val="22"/>
          <w:szCs w:val="22"/>
          <w:highlight w:val="none"/>
        </w:rPr>
      </w:pPr>
    </w:p>
    <w:p w14:paraId="0371595A">
      <w:pPr>
        <w:spacing w:line="380" w:lineRule="exact"/>
        <w:rPr>
          <w:rFonts w:hint="eastAsia" w:ascii="新宋体" w:hAnsi="新宋体" w:eastAsia="新宋体" w:cs="新宋体"/>
          <w:color w:val="auto"/>
          <w:sz w:val="22"/>
          <w:szCs w:val="22"/>
          <w:highlight w:val="none"/>
        </w:rPr>
      </w:pPr>
    </w:p>
    <w:p w14:paraId="4D317EFE">
      <w:pPr>
        <w:spacing w:line="380" w:lineRule="exact"/>
        <w:rPr>
          <w:rFonts w:hint="eastAsia" w:ascii="新宋体" w:hAnsi="新宋体" w:eastAsia="新宋体" w:cs="新宋体"/>
          <w:color w:val="auto"/>
          <w:sz w:val="22"/>
          <w:szCs w:val="22"/>
          <w:highlight w:val="none"/>
        </w:rPr>
      </w:pPr>
    </w:p>
    <w:p w14:paraId="512CC6C3">
      <w:pPr>
        <w:spacing w:line="380" w:lineRule="exact"/>
        <w:rPr>
          <w:rFonts w:hint="eastAsia" w:ascii="新宋体" w:hAnsi="新宋体" w:eastAsia="新宋体" w:cs="新宋体"/>
          <w:color w:val="auto"/>
          <w:sz w:val="22"/>
          <w:szCs w:val="22"/>
          <w:highlight w:val="none"/>
        </w:rPr>
      </w:pPr>
    </w:p>
    <w:p w14:paraId="2D50DDFD">
      <w:pPr>
        <w:spacing w:line="380" w:lineRule="exact"/>
        <w:rPr>
          <w:rFonts w:hint="eastAsia" w:ascii="新宋体" w:hAnsi="新宋体" w:eastAsia="新宋体" w:cs="新宋体"/>
          <w:color w:val="auto"/>
          <w:sz w:val="22"/>
          <w:szCs w:val="22"/>
          <w:highlight w:val="none"/>
        </w:rPr>
      </w:pPr>
    </w:p>
    <w:p w14:paraId="62D3268B">
      <w:pPr>
        <w:spacing w:line="380" w:lineRule="exact"/>
        <w:rPr>
          <w:rFonts w:hint="eastAsia" w:ascii="新宋体" w:hAnsi="新宋体" w:eastAsia="新宋体" w:cs="新宋体"/>
          <w:color w:val="auto"/>
          <w:sz w:val="22"/>
          <w:szCs w:val="22"/>
          <w:highlight w:val="none"/>
        </w:rPr>
      </w:pPr>
    </w:p>
    <w:p w14:paraId="72152CE6">
      <w:pPr>
        <w:spacing w:line="380" w:lineRule="exact"/>
        <w:rPr>
          <w:rFonts w:hint="eastAsia" w:ascii="新宋体" w:hAnsi="新宋体" w:eastAsia="新宋体" w:cs="新宋体"/>
          <w:color w:val="auto"/>
          <w:sz w:val="22"/>
          <w:szCs w:val="22"/>
          <w:highlight w:val="none"/>
        </w:rPr>
      </w:pPr>
    </w:p>
    <w:p w14:paraId="07E92B69">
      <w:pPr>
        <w:pStyle w:val="23"/>
        <w:rPr>
          <w:rFonts w:hint="eastAsia" w:ascii="新宋体" w:hAnsi="新宋体" w:eastAsia="新宋体" w:cs="新宋体"/>
          <w:color w:val="auto"/>
          <w:highlight w:val="none"/>
        </w:rPr>
      </w:pPr>
    </w:p>
    <w:p w14:paraId="7BC19054">
      <w:pPr>
        <w:pStyle w:val="23"/>
        <w:rPr>
          <w:rFonts w:hint="eastAsia" w:ascii="新宋体" w:hAnsi="新宋体" w:eastAsia="新宋体" w:cs="新宋体"/>
          <w:color w:val="auto"/>
          <w:highlight w:val="none"/>
        </w:rPr>
      </w:pPr>
    </w:p>
    <w:p w14:paraId="4BE7DA14">
      <w:pPr>
        <w:spacing w:line="400" w:lineRule="exact"/>
        <w:jc w:val="center"/>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（3）残疾人福利性单位的相关证明材料</w:t>
      </w:r>
    </w:p>
    <w:p w14:paraId="399EA307">
      <w:pPr>
        <w:spacing w:line="460" w:lineRule="exact"/>
        <w:ind w:firstLine="520" w:firstLineChars="200"/>
        <w:rPr>
          <w:rFonts w:hint="eastAsia" w:ascii="新宋体" w:hAnsi="新宋体" w:eastAsia="新宋体" w:cs="新宋体"/>
          <w:color w:val="auto"/>
          <w:spacing w:val="20"/>
          <w:sz w:val="22"/>
          <w:szCs w:val="22"/>
          <w:highlight w:val="none"/>
        </w:rPr>
      </w:pPr>
    </w:p>
    <w:p w14:paraId="2F831DFE">
      <w:pPr>
        <w:spacing w:line="460" w:lineRule="exact"/>
        <w:rPr>
          <w:rFonts w:hint="eastAsia" w:ascii="新宋体" w:hAnsi="新宋体" w:eastAsia="新宋体" w:cs="新宋体"/>
          <w:color w:val="auto"/>
          <w:spacing w:val="20"/>
          <w:sz w:val="22"/>
          <w:szCs w:val="22"/>
          <w:highlight w:val="none"/>
        </w:rPr>
      </w:pPr>
    </w:p>
    <w:p w14:paraId="3047ADCF">
      <w:pPr>
        <w:spacing w:line="460" w:lineRule="exact"/>
        <w:rPr>
          <w:rFonts w:hint="eastAsia" w:ascii="新宋体" w:hAnsi="新宋体" w:eastAsia="新宋体" w:cs="新宋体"/>
          <w:color w:val="auto"/>
          <w:spacing w:val="20"/>
          <w:sz w:val="22"/>
          <w:szCs w:val="22"/>
          <w:highlight w:val="none"/>
        </w:rPr>
      </w:pPr>
    </w:p>
    <w:p w14:paraId="01C1C707">
      <w:pPr>
        <w:spacing w:line="460" w:lineRule="exact"/>
        <w:jc w:val="center"/>
        <w:rPr>
          <w:rFonts w:hint="eastAsia" w:ascii="新宋体" w:hAnsi="新宋体" w:eastAsia="新宋体" w:cs="新宋体"/>
          <w:color w:val="auto"/>
          <w:spacing w:val="6"/>
          <w:sz w:val="22"/>
          <w:szCs w:val="22"/>
          <w:highlight w:val="none"/>
        </w:rPr>
      </w:pPr>
      <w:r>
        <w:rPr>
          <w:rFonts w:hint="eastAsia" w:ascii="新宋体" w:hAnsi="新宋体" w:eastAsia="新宋体" w:cs="新宋体"/>
          <w:b/>
          <w:color w:val="auto"/>
          <w:spacing w:val="6"/>
          <w:sz w:val="22"/>
          <w:szCs w:val="22"/>
          <w:highlight w:val="none"/>
        </w:rPr>
        <w:t>残疾人福利性单位声明函</w:t>
      </w:r>
    </w:p>
    <w:p w14:paraId="0D38AF17">
      <w:pPr>
        <w:widowControl/>
        <w:adjustRightInd w:val="0"/>
        <w:snapToGrid w:val="0"/>
        <w:spacing w:line="460" w:lineRule="exact"/>
        <w:ind w:firstLine="440" w:firstLineChars="200"/>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【不属于残疾人福利性单位的无需填写、递交】</w:t>
      </w:r>
    </w:p>
    <w:p w14:paraId="555A5607">
      <w:pPr>
        <w:snapToGrid w:val="0"/>
        <w:spacing w:line="460" w:lineRule="exact"/>
        <w:jc w:val="center"/>
        <w:rPr>
          <w:rFonts w:hint="eastAsia" w:ascii="新宋体" w:hAnsi="新宋体" w:eastAsia="新宋体" w:cs="新宋体"/>
          <w:b/>
          <w:bCs/>
          <w:color w:val="auto"/>
          <w:sz w:val="22"/>
          <w:szCs w:val="22"/>
          <w:highlight w:val="none"/>
        </w:rPr>
      </w:pPr>
    </w:p>
    <w:p w14:paraId="40251E38">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本单位郑重声明，根据《财政部民政部中国残疾人联合会关于促进残疾人就业政府采购政策的通知》（财库</w:t>
      </w:r>
      <w:r>
        <w:rPr>
          <w:rFonts w:hint="eastAsia" w:ascii="新宋体" w:hAnsi="新宋体" w:eastAsia="新宋体" w:cs="新宋体"/>
          <w:color w:val="auto"/>
          <w:sz w:val="22"/>
          <w:szCs w:val="22"/>
          <w:highlight w:val="none"/>
        </w:rPr>
        <w:t>〔2017〕141</w:t>
      </w:r>
      <w:r>
        <w:rPr>
          <w:rFonts w:hint="eastAsia" w:ascii="新宋体" w:hAnsi="新宋体" w:eastAsia="新宋体" w:cs="新宋体"/>
          <w:color w:val="auto"/>
          <w:spacing w:val="6"/>
          <w:sz w:val="22"/>
          <w:szCs w:val="22"/>
          <w:highlight w:val="none"/>
        </w:rPr>
        <w:t>号）的规定，本单位为符合条件的残疾人福利性单位，且本单位参加</w:t>
      </w:r>
      <w:r>
        <w:rPr>
          <w:rFonts w:hint="eastAsia" w:ascii="新宋体" w:hAnsi="新宋体" w:eastAsia="新宋体" w:cs="新宋体"/>
          <w:color w:val="auto"/>
          <w:spacing w:val="6"/>
          <w:sz w:val="22"/>
          <w:szCs w:val="22"/>
          <w:highlight w:val="none"/>
          <w:u w:val="single"/>
        </w:rPr>
        <w:t>（招标人名称）</w:t>
      </w:r>
      <w:r>
        <w:rPr>
          <w:rFonts w:hint="eastAsia" w:ascii="新宋体" w:hAnsi="新宋体" w:eastAsia="新宋体" w:cs="新宋体"/>
          <w:color w:val="auto"/>
          <w:spacing w:val="6"/>
          <w:sz w:val="22"/>
          <w:szCs w:val="22"/>
          <w:highlight w:val="none"/>
        </w:rPr>
        <w:t>单位的</w:t>
      </w:r>
      <w:r>
        <w:rPr>
          <w:rFonts w:hint="eastAsia" w:ascii="新宋体" w:hAnsi="新宋体" w:eastAsia="新宋体" w:cs="新宋体"/>
          <w:color w:val="auto"/>
          <w:spacing w:val="6"/>
          <w:sz w:val="22"/>
          <w:szCs w:val="22"/>
          <w:highlight w:val="none"/>
          <w:u w:val="single"/>
        </w:rPr>
        <w:t>（招标项目名称）</w:t>
      </w:r>
      <w:r>
        <w:rPr>
          <w:rFonts w:hint="eastAsia" w:ascii="新宋体" w:hAnsi="新宋体" w:eastAsia="新宋体" w:cs="新宋体"/>
          <w:color w:val="auto"/>
          <w:spacing w:val="6"/>
          <w:sz w:val="22"/>
          <w:szCs w:val="22"/>
          <w:highlight w:val="none"/>
        </w:rPr>
        <w:t>项目采购活动提供本单位制造的货物（由本单位承担工程/提供服务），或者提供其他残疾人福利性单位制造的货物（不包括使用非残疾人福利性单位注册商标的货物）。</w:t>
      </w:r>
    </w:p>
    <w:p w14:paraId="0873A072">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本单位对上述声明的真实性负责。如有虚假，将依法承担相应责任。</w:t>
      </w:r>
    </w:p>
    <w:p w14:paraId="04FD4C8F">
      <w:pPr>
        <w:snapToGrid w:val="0"/>
        <w:spacing w:line="460" w:lineRule="exact"/>
        <w:ind w:firstLine="464" w:firstLineChars="200"/>
        <w:rPr>
          <w:rFonts w:hint="eastAsia" w:ascii="新宋体" w:hAnsi="新宋体" w:eastAsia="新宋体" w:cs="新宋体"/>
          <w:color w:val="auto"/>
          <w:spacing w:val="6"/>
          <w:sz w:val="22"/>
          <w:szCs w:val="22"/>
          <w:highlight w:val="none"/>
        </w:rPr>
      </w:pPr>
    </w:p>
    <w:p w14:paraId="3A54C50B">
      <w:pPr>
        <w:snapToGrid w:val="0"/>
        <w:spacing w:line="460" w:lineRule="exact"/>
        <w:ind w:firstLine="464" w:firstLineChars="200"/>
        <w:rPr>
          <w:rFonts w:hint="eastAsia" w:ascii="新宋体" w:hAnsi="新宋体" w:eastAsia="新宋体" w:cs="新宋体"/>
          <w:color w:val="auto"/>
          <w:spacing w:val="6"/>
          <w:sz w:val="22"/>
          <w:szCs w:val="22"/>
          <w:highlight w:val="none"/>
        </w:rPr>
      </w:pPr>
    </w:p>
    <w:p w14:paraId="51145A6C">
      <w:pPr>
        <w:adjustRightInd w:val="0"/>
        <w:snapToGrid w:val="0"/>
        <w:spacing w:line="460" w:lineRule="exact"/>
        <w:ind w:firstLine="440" w:firstLineChars="200"/>
        <w:rPr>
          <w:rFonts w:hint="eastAsia"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rPr>
        <w:t>投标人全称（盖章）：</w:t>
      </w:r>
      <w:r>
        <w:rPr>
          <w:rFonts w:hint="eastAsia" w:ascii="新宋体" w:hAnsi="新宋体" w:eastAsia="新宋体" w:cs="新宋体"/>
          <w:color w:val="auto"/>
          <w:kern w:val="0"/>
          <w:sz w:val="22"/>
          <w:szCs w:val="22"/>
          <w:highlight w:val="none"/>
          <w:u w:val="single"/>
        </w:rPr>
        <w:t xml:space="preserve">                    </w:t>
      </w:r>
    </w:p>
    <w:p w14:paraId="105EFAEA">
      <w:pPr>
        <w:pStyle w:val="23"/>
        <w:spacing w:line="460" w:lineRule="exact"/>
        <w:ind w:left="437" w:leftChars="208"/>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67000540">
      <w:pPr>
        <w:bidi w:val="0"/>
        <w:rPr>
          <w:rFonts w:hint="eastAsia"/>
          <w:color w:val="auto"/>
          <w:highlight w:val="none"/>
          <w:lang w:eastAsia="zh-CN"/>
        </w:rPr>
      </w:pPr>
    </w:p>
    <w:p w14:paraId="29589C95">
      <w:pPr>
        <w:spacing w:line="400" w:lineRule="exact"/>
        <w:jc w:val="center"/>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2"/>
          <w:szCs w:val="22"/>
          <w:highlight w:val="none"/>
        </w:rPr>
        <w:br w:type="page"/>
      </w:r>
      <w:r>
        <w:rPr>
          <w:rFonts w:hint="eastAsia" w:ascii="新宋体" w:hAnsi="新宋体" w:eastAsia="新宋体" w:cs="新宋体"/>
          <w:b/>
          <w:bCs/>
          <w:color w:val="auto"/>
          <w:sz w:val="28"/>
          <w:szCs w:val="28"/>
          <w:highlight w:val="none"/>
          <w:lang w:val="en-US" w:eastAsia="zh-CN"/>
        </w:rPr>
        <w:t>5</w:t>
      </w:r>
      <w:r>
        <w:rPr>
          <w:rFonts w:hint="eastAsia" w:ascii="新宋体" w:hAnsi="新宋体" w:eastAsia="新宋体" w:cs="新宋体"/>
          <w:b/>
          <w:bCs/>
          <w:color w:val="auto"/>
          <w:sz w:val="28"/>
          <w:szCs w:val="28"/>
          <w:highlight w:val="none"/>
        </w:rPr>
        <w:t>、采购活动现场确认声明书</w:t>
      </w:r>
    </w:p>
    <w:p w14:paraId="2E7EE79E">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kern w:val="0"/>
          <w:sz w:val="22"/>
          <w:szCs w:val="22"/>
          <w:highlight w:val="none"/>
        </w:rPr>
        <w:t>温州历程招标有限公司：</w:t>
      </w:r>
    </w:p>
    <w:p w14:paraId="146A2FA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highlight w:val="none"/>
        </w:rPr>
      </w:pPr>
      <w:r>
        <w:rPr>
          <w:rFonts w:hint="eastAsia" w:ascii="新宋体" w:hAnsi="新宋体" w:eastAsia="新宋体" w:cs="新宋体"/>
          <w:color w:val="auto"/>
          <w:kern w:val="0"/>
          <w:sz w:val="22"/>
          <w:szCs w:val="22"/>
          <w:highlight w:val="none"/>
        </w:rPr>
        <w:t>本人经由</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（供应商名称）负责人</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（姓名）合法授权参加</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（编号：</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）采购活动，经与本单位法人代表</w:t>
      </w:r>
      <w:r>
        <w:rPr>
          <w:rFonts w:hint="eastAsia" w:ascii="新宋体" w:hAnsi="新宋体" w:eastAsia="新宋体" w:cs="新宋体"/>
          <w:color w:val="auto"/>
          <w:kern w:val="0"/>
          <w:sz w:val="22"/>
          <w:szCs w:val="22"/>
          <w:highlight w:val="none"/>
          <w:u w:val="single"/>
        </w:rPr>
        <w:t>（负责人）</w:t>
      </w:r>
      <w:r>
        <w:rPr>
          <w:rFonts w:hint="eastAsia" w:ascii="新宋体" w:hAnsi="新宋体" w:eastAsia="新宋体" w:cs="新宋体"/>
          <w:color w:val="auto"/>
          <w:kern w:val="0"/>
          <w:sz w:val="22"/>
          <w:szCs w:val="22"/>
          <w:highlight w:val="none"/>
        </w:rPr>
        <w:t>联系确认，现就有关公平竞争事项郑重声明如下：</w:t>
      </w:r>
    </w:p>
    <w:p w14:paraId="4553E37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（一）本单位与</w:t>
      </w:r>
      <w:r>
        <w:rPr>
          <w:rFonts w:hint="eastAsia" w:ascii="新宋体" w:hAnsi="新宋体" w:eastAsia="新宋体" w:cs="新宋体"/>
          <w:color w:val="auto"/>
          <w:kern w:val="0"/>
          <w:sz w:val="22"/>
          <w:szCs w:val="22"/>
          <w:highlight w:val="none"/>
          <w:lang w:eastAsia="zh-CN"/>
        </w:rPr>
        <w:t>招标人</w:t>
      </w:r>
      <w:r>
        <w:rPr>
          <w:rFonts w:hint="eastAsia" w:ascii="新宋体" w:hAnsi="新宋体" w:eastAsia="新宋体" w:cs="新宋体"/>
          <w:color w:val="auto"/>
          <w:kern w:val="0"/>
          <w:sz w:val="22"/>
          <w:szCs w:val="22"/>
          <w:highlight w:val="none"/>
        </w:rPr>
        <w:t xml:space="preserve">之间 </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rPr>
        <w:t xml:space="preserve">不存在利害关系 </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rPr>
        <w:t>存在下列利害关系：</w:t>
      </w:r>
    </w:p>
    <w:p w14:paraId="4C8BC462">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xml:space="preserve">A.投资关系    </w:t>
      </w:r>
    </w:p>
    <w:p w14:paraId="7BD36F5D">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xml:space="preserve">B.行政隶属关系    </w:t>
      </w:r>
    </w:p>
    <w:p w14:paraId="62B13A32">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xml:space="preserve">C.业务指导关系  </w:t>
      </w:r>
    </w:p>
    <w:p w14:paraId="6771378A">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D.其他可能影响采购公正的利害关系</w:t>
      </w:r>
      <w:r>
        <w:rPr>
          <w:rStyle w:val="146"/>
          <w:rFonts w:hint="eastAsia" w:ascii="新宋体" w:hAnsi="新宋体" w:eastAsia="新宋体" w:cs="新宋体"/>
          <w:color w:val="auto"/>
          <w:sz w:val="22"/>
          <w:szCs w:val="22"/>
          <w:highlight w:val="none"/>
        </w:rPr>
        <w:t xml:space="preserve">（如有，请如实说明）                 </w:t>
      </w:r>
      <w:r>
        <w:rPr>
          <w:rFonts w:hint="eastAsia" w:ascii="新宋体" w:hAnsi="新宋体" w:eastAsia="新宋体" w:cs="新宋体"/>
          <w:color w:val="auto"/>
          <w:kern w:val="0"/>
          <w:sz w:val="22"/>
          <w:szCs w:val="22"/>
          <w:highlight w:val="none"/>
        </w:rPr>
        <w:t>。</w:t>
      </w:r>
    </w:p>
    <w:p w14:paraId="7B01852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xml:space="preserve">（二）现已清楚知道参加本项目采购活动的其他所有供应商名称，本单位 </w:t>
      </w:r>
    </w:p>
    <w:p w14:paraId="1D459344">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rPr>
        <w:t>与其他所有供应商之间均不存在利害关系</w:t>
      </w:r>
    </w:p>
    <w:p w14:paraId="5FA0A942">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rPr>
        <w:t>与</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供应商名称）之间存在下列利害关系</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w:t>
      </w:r>
    </w:p>
    <w:p w14:paraId="59AB1988">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A.法定代表人或负责人或实际控制人是同一人</w:t>
      </w:r>
    </w:p>
    <w:p w14:paraId="0197FF77">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B.法定代表人或负责人或实际控制人是夫妻关系</w:t>
      </w:r>
    </w:p>
    <w:p w14:paraId="324F5199">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C.法定代表人或负责人或实际控制人是直系血亲关系</w:t>
      </w:r>
    </w:p>
    <w:p w14:paraId="180ED2FE">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D.法定代表人或负责人或实际控制人存在三代以内旁系血亲关系</w:t>
      </w:r>
    </w:p>
    <w:p w14:paraId="77D2D9AD">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E.法定代表人或负责人或实际控制人存在近姻亲关系</w:t>
      </w:r>
    </w:p>
    <w:p w14:paraId="75E13016">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F.法定代表人或负责人或实际控制人存在股份控制或实际控制关系</w:t>
      </w:r>
    </w:p>
    <w:p w14:paraId="5BD548AE">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G.存在共同直接或间接投资设立子公司、联营企业和合营企业情况</w:t>
      </w:r>
    </w:p>
    <w:p w14:paraId="0D20A12A">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H.存在分级代理或代销关系、同一生产制造商关系、管理关系、重要业务（占主营业务收入50%以上）或重要财务往来关系（如融资）等其他实质性控制关系</w:t>
      </w:r>
    </w:p>
    <w:p w14:paraId="2EC10A11">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I.其他利害关系情况</w:t>
      </w:r>
      <w:r>
        <w:rPr>
          <w:rFonts w:hint="eastAsia" w:ascii="新宋体" w:hAnsi="新宋体" w:eastAsia="新宋体" w:cs="新宋体"/>
          <w:color w:val="auto"/>
          <w:kern w:val="0"/>
          <w:sz w:val="22"/>
          <w:szCs w:val="22"/>
          <w:highlight w:val="none"/>
          <w:u w:val="single"/>
        </w:rPr>
        <w:t xml:space="preserve">                              。</w:t>
      </w:r>
    </w:p>
    <w:p w14:paraId="69024D72">
      <w:pPr>
        <w:pStyle w:val="23"/>
        <w:keepNext w:val="0"/>
        <w:keepLines w:val="0"/>
        <w:pageBreakBefore w:val="0"/>
        <w:widowControl w:val="0"/>
        <w:kinsoku/>
        <w:wordWrap/>
        <w:overflowPunct/>
        <w:topLinePunct w:val="0"/>
        <w:autoSpaceDE/>
        <w:autoSpaceDN/>
        <w:bidi w:val="0"/>
        <w:adjustRightInd/>
        <w:snapToGrid/>
        <w:spacing w:line="460" w:lineRule="exact"/>
        <w:ind w:left="0" w:leftChars="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（三）现已清楚知道并严格遵守政府采购法律法规和现场纪律</w:t>
      </w:r>
    </w:p>
    <w:p w14:paraId="0ADD3C9F">
      <w:pPr>
        <w:pStyle w:val="23"/>
        <w:keepNext w:val="0"/>
        <w:keepLines w:val="0"/>
        <w:pageBreakBefore w:val="0"/>
        <w:widowControl w:val="0"/>
        <w:kinsoku/>
        <w:wordWrap/>
        <w:overflowPunct/>
        <w:topLinePunct w:val="0"/>
        <w:autoSpaceDE/>
        <w:autoSpaceDN/>
        <w:bidi w:val="0"/>
        <w:adjustRightInd/>
        <w:snapToGrid/>
        <w:spacing w:line="460" w:lineRule="exact"/>
        <w:ind w:left="0" w:leftChars="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（四）我发现</w:t>
      </w:r>
      <w:r>
        <w:rPr>
          <w:rStyle w:val="146"/>
          <w:rFonts w:hint="eastAsia" w:ascii="新宋体" w:hAnsi="新宋体" w:eastAsia="新宋体" w:cs="新宋体"/>
          <w:color w:val="auto"/>
          <w:sz w:val="22"/>
          <w:szCs w:val="22"/>
          <w:highlight w:val="none"/>
        </w:rPr>
        <w:t xml:space="preserve">                  </w:t>
      </w:r>
      <w:r>
        <w:rPr>
          <w:rStyle w:val="146"/>
          <w:rFonts w:hint="eastAsia" w:ascii="新宋体" w:hAnsi="新宋体" w:eastAsia="新宋体" w:cs="新宋体"/>
          <w:color w:val="auto"/>
          <w:sz w:val="22"/>
          <w:szCs w:val="22"/>
          <w:highlight w:val="none"/>
          <w:u w:val="none"/>
        </w:rPr>
        <w:t>与</w:t>
      </w:r>
      <w:r>
        <w:rPr>
          <w:rStyle w:val="146"/>
          <w:rFonts w:hint="eastAsia" w:ascii="新宋体" w:hAnsi="新宋体" w:eastAsia="新宋体" w:cs="新宋体"/>
          <w:color w:val="auto"/>
          <w:sz w:val="22"/>
          <w:szCs w:val="22"/>
          <w:highlight w:val="none"/>
        </w:rPr>
        <w:t xml:space="preserve">                  （供应商名称）</w:t>
      </w:r>
      <w:r>
        <w:rPr>
          <w:rFonts w:hint="eastAsia" w:ascii="新宋体" w:hAnsi="新宋体" w:eastAsia="新宋体" w:cs="新宋体"/>
          <w:color w:val="auto"/>
          <w:kern w:val="0"/>
          <w:sz w:val="22"/>
          <w:szCs w:val="22"/>
          <w:highlight w:val="none"/>
        </w:rPr>
        <w:t>之间存在或可能存在上述第二条第</w:t>
      </w:r>
      <w:r>
        <w:rPr>
          <w:rStyle w:val="146"/>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kern w:val="0"/>
          <w:sz w:val="22"/>
          <w:szCs w:val="22"/>
          <w:highlight w:val="none"/>
        </w:rPr>
        <w:t>项利害关系。</w:t>
      </w:r>
    </w:p>
    <w:p w14:paraId="270C363A">
      <w:pPr>
        <w:pStyle w:val="23"/>
        <w:keepNext w:val="0"/>
        <w:keepLines w:val="0"/>
        <w:pageBreakBefore w:val="0"/>
        <w:widowControl w:val="0"/>
        <w:kinsoku/>
        <w:wordWrap/>
        <w:overflowPunct/>
        <w:topLinePunct w:val="0"/>
        <w:autoSpaceDE/>
        <w:autoSpaceDN/>
        <w:bidi w:val="0"/>
        <w:adjustRightInd/>
        <w:snapToGrid/>
        <w:spacing w:line="460" w:lineRule="exact"/>
        <w:ind w:left="0" w:leftChars="0"/>
        <w:textAlignment w:val="auto"/>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供应商代表签名：</w:t>
      </w:r>
    </w:p>
    <w:p w14:paraId="3A0F3F09">
      <w:pPr>
        <w:pStyle w:val="23"/>
        <w:keepNext w:val="0"/>
        <w:keepLines w:val="0"/>
        <w:pageBreakBefore w:val="0"/>
        <w:widowControl w:val="0"/>
        <w:kinsoku/>
        <w:wordWrap/>
        <w:overflowPunct/>
        <w:topLinePunct w:val="0"/>
        <w:autoSpaceDE/>
        <w:autoSpaceDN/>
        <w:bidi w:val="0"/>
        <w:adjustRightInd/>
        <w:snapToGrid/>
        <w:spacing w:line="460" w:lineRule="exact"/>
        <w:ind w:left="0" w:leftChars="0"/>
        <w:textAlignment w:val="auto"/>
        <w:rPr>
          <w:rFonts w:hint="eastAsia" w:ascii="新宋体" w:hAnsi="新宋体" w:eastAsia="新宋体" w:cs="新宋体"/>
          <w:b/>
          <w:color w:val="auto"/>
          <w:kern w:val="0"/>
          <w:sz w:val="22"/>
          <w:szCs w:val="22"/>
          <w:highlight w:val="none"/>
        </w:rPr>
      </w:pPr>
    </w:p>
    <w:p w14:paraId="6AFA0C7A">
      <w:pPr>
        <w:pStyle w:val="23"/>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日期：</w:t>
      </w:r>
      <w:r>
        <w:rPr>
          <w:rFonts w:hint="eastAsia" w:ascii="新宋体" w:hAnsi="新宋体" w:eastAsia="新宋体" w:cs="新宋体"/>
          <w:b/>
          <w:color w:val="auto"/>
          <w:kern w:val="0"/>
          <w:sz w:val="22"/>
          <w:szCs w:val="22"/>
          <w:highlight w:val="none"/>
          <w:lang w:val="en-US" w:eastAsia="zh-CN"/>
        </w:rPr>
        <w:t xml:space="preserve">    </w:t>
      </w:r>
      <w:r>
        <w:rPr>
          <w:rFonts w:hint="eastAsia" w:ascii="新宋体" w:hAnsi="新宋体" w:eastAsia="新宋体" w:cs="新宋体"/>
          <w:b/>
          <w:color w:val="auto"/>
          <w:kern w:val="0"/>
          <w:sz w:val="22"/>
          <w:szCs w:val="22"/>
          <w:highlight w:val="none"/>
        </w:rPr>
        <w:t>年    月    日</w:t>
      </w:r>
    </w:p>
    <w:p w14:paraId="365801AD">
      <w:pPr>
        <w:pStyle w:val="23"/>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新宋体" w:hAnsi="新宋体" w:eastAsia="新宋体" w:cs="新宋体"/>
          <w:b/>
          <w:color w:val="auto"/>
          <w:kern w:val="0"/>
          <w:sz w:val="22"/>
          <w:szCs w:val="22"/>
          <w:highlight w:val="none"/>
        </w:rPr>
      </w:pPr>
    </w:p>
    <w:p w14:paraId="62376DC7">
      <w:pPr>
        <w:spacing w:line="400" w:lineRule="exact"/>
        <w:jc w:val="center"/>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6、联合体共同投标协议书（如有）</w:t>
      </w:r>
    </w:p>
    <w:p w14:paraId="00959EC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牵头人名称：</w:t>
      </w:r>
      <w:r>
        <w:rPr>
          <w:rFonts w:hint="eastAsia" w:ascii="新宋体" w:hAnsi="新宋体" w:eastAsia="新宋体" w:cs="新宋体"/>
          <w:color w:val="auto"/>
          <w:sz w:val="22"/>
          <w:szCs w:val="22"/>
          <w:highlight w:val="none"/>
          <w:u w:val="single"/>
        </w:rPr>
        <w:t xml:space="preserve">                                                        </w:t>
      </w:r>
    </w:p>
    <w:p w14:paraId="58059C2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法定代表人（或企业负责人）</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val="single"/>
        </w:rPr>
        <w:t xml:space="preserve">                                        </w:t>
      </w:r>
    </w:p>
    <w:p w14:paraId="20250DA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35"/>
          <w:sz w:val="22"/>
          <w:szCs w:val="22"/>
          <w:highlight w:val="none"/>
        </w:rPr>
        <w:t>法定住</w:t>
      </w:r>
      <w:r>
        <w:rPr>
          <w:rFonts w:hint="eastAsia" w:ascii="新宋体" w:hAnsi="新宋体" w:eastAsia="新宋体" w:cs="新宋体"/>
          <w:color w:val="auto"/>
          <w:sz w:val="22"/>
          <w:szCs w:val="22"/>
          <w:highlight w:val="none"/>
        </w:rPr>
        <w:t>所：</w:t>
      </w:r>
      <w:r>
        <w:rPr>
          <w:rFonts w:hint="eastAsia" w:ascii="新宋体" w:hAnsi="新宋体" w:eastAsia="新宋体" w:cs="新宋体"/>
          <w:color w:val="auto"/>
          <w:sz w:val="22"/>
          <w:szCs w:val="22"/>
          <w:highlight w:val="none"/>
          <w:u w:val="single"/>
        </w:rPr>
        <w:t xml:space="preserve">                                                        </w:t>
      </w:r>
    </w:p>
    <w:p w14:paraId="0363405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联合体</w:t>
      </w:r>
      <w:r>
        <w:rPr>
          <w:rFonts w:hint="eastAsia" w:ascii="新宋体" w:hAnsi="新宋体" w:eastAsia="新宋体" w:cs="新宋体"/>
          <w:color w:val="auto"/>
          <w:sz w:val="22"/>
          <w:szCs w:val="22"/>
          <w:highlight w:val="none"/>
        </w:rPr>
        <w:t>成员名称：</w:t>
      </w:r>
      <w:r>
        <w:rPr>
          <w:rFonts w:hint="eastAsia" w:ascii="新宋体" w:hAnsi="新宋体" w:eastAsia="新宋体" w:cs="新宋体"/>
          <w:color w:val="auto"/>
          <w:sz w:val="22"/>
          <w:szCs w:val="22"/>
          <w:highlight w:val="none"/>
          <w:u w:val="single"/>
        </w:rPr>
        <w:t xml:space="preserve">                                                    </w:t>
      </w:r>
    </w:p>
    <w:p w14:paraId="5558C93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法定代表人（或企业负责人）</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val="single"/>
        </w:rPr>
        <w:t xml:space="preserve">                                       </w:t>
      </w:r>
    </w:p>
    <w:p w14:paraId="5F79678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35"/>
          <w:sz w:val="22"/>
          <w:szCs w:val="22"/>
          <w:highlight w:val="none"/>
        </w:rPr>
        <w:t>法定住</w:t>
      </w:r>
      <w:r>
        <w:rPr>
          <w:rFonts w:hint="eastAsia" w:ascii="新宋体" w:hAnsi="新宋体" w:eastAsia="新宋体" w:cs="新宋体"/>
          <w:color w:val="auto"/>
          <w:sz w:val="22"/>
          <w:szCs w:val="22"/>
          <w:highlight w:val="none"/>
        </w:rPr>
        <w:t>所：</w:t>
      </w:r>
      <w:r>
        <w:rPr>
          <w:rFonts w:hint="eastAsia" w:ascii="新宋体" w:hAnsi="新宋体" w:eastAsia="新宋体" w:cs="新宋体"/>
          <w:color w:val="auto"/>
          <w:sz w:val="22"/>
          <w:szCs w:val="22"/>
          <w:highlight w:val="none"/>
          <w:u w:val="single"/>
        </w:rPr>
        <w:t xml:space="preserve">                                                        </w:t>
      </w:r>
    </w:p>
    <w:p w14:paraId="28D59B9F">
      <w:pPr>
        <w:keepNext w:val="0"/>
        <w:keepLines w:val="0"/>
        <w:pageBreakBefore w:val="0"/>
        <w:widowControl w:val="0"/>
        <w:kinsoku/>
        <w:wordWrap/>
        <w:overflowPunct/>
        <w:topLinePunct w:val="0"/>
        <w:autoSpaceDE/>
        <w:autoSpaceDN/>
        <w:bidi w:val="0"/>
        <w:adjustRightInd/>
        <w:snapToGrid/>
        <w:spacing w:line="460" w:lineRule="exact"/>
        <w:ind w:firstLine="376" w:firstLineChars="171"/>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鉴于上述各成员单位经过友好协商，自愿组成</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（联合体名称）联合体，共同参加</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（招标人名称）（以下简称招标人）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（项目名称）（以下简称合同）。现就联合体投标事宜订立如下协议：</w:t>
      </w:r>
    </w:p>
    <w:p w14:paraId="72761C64">
      <w:pPr>
        <w:keepNext w:val="0"/>
        <w:keepLines w:val="0"/>
        <w:pageBreakBefore w:val="0"/>
        <w:widowControl w:val="0"/>
        <w:kinsoku/>
        <w:wordWrap/>
        <w:overflowPunct/>
        <w:topLinePunct w:val="0"/>
        <w:autoSpaceDE/>
        <w:autoSpaceDN/>
        <w:bidi w:val="0"/>
        <w:adjustRightInd/>
        <w:snapToGrid/>
        <w:spacing w:line="460" w:lineRule="exact"/>
        <w:ind w:firstLine="376" w:firstLineChars="171"/>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（某成员单位名称）为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（联合体名称）牵头人。</w:t>
      </w:r>
    </w:p>
    <w:p w14:paraId="385F1704">
      <w:pPr>
        <w:keepNext w:val="0"/>
        <w:keepLines w:val="0"/>
        <w:pageBreakBefore w:val="0"/>
        <w:widowControl w:val="0"/>
        <w:kinsoku/>
        <w:wordWrap/>
        <w:overflowPunct/>
        <w:topLinePunct w:val="0"/>
        <w:autoSpaceDE/>
        <w:autoSpaceDN/>
        <w:bidi w:val="0"/>
        <w:adjustRightInd/>
        <w:snapToGrid/>
        <w:spacing w:line="460" w:lineRule="exact"/>
        <w:ind w:firstLine="376" w:firstLineChars="171"/>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2、在本项目投标阶段，联合体牵头人合法代表联合体各成员负责本</w:t>
      </w:r>
      <w:r>
        <w:rPr>
          <w:rFonts w:hint="eastAsia" w:ascii="新宋体" w:hAnsi="新宋体" w:eastAsia="新宋体" w:cs="新宋体"/>
          <w:color w:val="auto"/>
          <w:sz w:val="22"/>
          <w:szCs w:val="22"/>
          <w:highlight w:val="none"/>
          <w:lang w:eastAsia="zh-CN"/>
        </w:rPr>
        <w:t>项目</w:t>
      </w:r>
      <w:r>
        <w:rPr>
          <w:rFonts w:hint="eastAsia" w:ascii="新宋体" w:hAnsi="新宋体" w:eastAsia="新宋体" w:cs="新宋体"/>
          <w:color w:val="auto"/>
          <w:sz w:val="22"/>
          <w:szCs w:val="22"/>
          <w:highlight w:val="none"/>
        </w:rPr>
        <w:t>投标文件编制活动，代表联合体提交和接收相关的资料、信息及指示，并处理投标和中标有关的一切事务；联合体中标后，联合体牵头人负责合同订立和合同实施阶段的主办、组织和协调工作。</w:t>
      </w:r>
    </w:p>
    <w:p w14:paraId="2293F383">
      <w:pPr>
        <w:keepNext w:val="0"/>
        <w:keepLines w:val="0"/>
        <w:pageBreakBefore w:val="0"/>
        <w:widowControl w:val="0"/>
        <w:kinsoku/>
        <w:wordWrap/>
        <w:overflowPunct/>
        <w:topLinePunct w:val="0"/>
        <w:autoSpaceDE/>
        <w:autoSpaceDN/>
        <w:bidi w:val="0"/>
        <w:adjustRightInd/>
        <w:snapToGrid/>
        <w:spacing w:line="460" w:lineRule="exact"/>
        <w:ind w:firstLine="376" w:firstLineChars="171"/>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3、联合体将严格按照</w:t>
      </w:r>
      <w:r>
        <w:rPr>
          <w:rFonts w:hint="eastAsia" w:ascii="新宋体" w:hAnsi="新宋体" w:eastAsia="新宋体" w:cs="新宋体"/>
          <w:color w:val="auto"/>
          <w:sz w:val="22"/>
          <w:szCs w:val="22"/>
          <w:highlight w:val="none"/>
          <w:lang w:eastAsia="zh-CN"/>
        </w:rPr>
        <w:t>采购文件</w:t>
      </w:r>
      <w:r>
        <w:rPr>
          <w:rFonts w:hint="eastAsia" w:ascii="新宋体" w:hAnsi="新宋体" w:eastAsia="新宋体" w:cs="新宋体"/>
          <w:color w:val="auto"/>
          <w:sz w:val="22"/>
          <w:szCs w:val="22"/>
          <w:highlight w:val="none"/>
        </w:rPr>
        <w:t>的各项要求，递交投标文件，履行投标义务和中标后的合同，共同承担合同规定的一切义务和责任，联合体各成员单位按照内部职责的划分，承担各自所负的责任和风险，并向招标人承担连带责任。</w:t>
      </w:r>
    </w:p>
    <w:p w14:paraId="577ED9D8">
      <w:pPr>
        <w:keepNext w:val="0"/>
        <w:keepLines w:val="0"/>
        <w:pageBreakBefore w:val="0"/>
        <w:widowControl w:val="0"/>
        <w:kinsoku/>
        <w:wordWrap/>
        <w:overflowPunct/>
        <w:topLinePunct w:val="0"/>
        <w:autoSpaceDE/>
        <w:autoSpaceDN/>
        <w:bidi w:val="0"/>
        <w:adjustRightInd/>
        <w:snapToGrid/>
        <w:spacing w:line="460" w:lineRule="exact"/>
        <w:ind w:firstLine="376" w:firstLineChars="171"/>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4、联合体各成员单位内部的职责分工如下：</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w:t>
      </w:r>
    </w:p>
    <w:p w14:paraId="1BD09F2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按照本条上述分工，联合体成员单位</w:t>
      </w:r>
      <w:r>
        <w:rPr>
          <w:rFonts w:hint="eastAsia" w:ascii="新宋体" w:hAnsi="新宋体" w:eastAsia="新宋体" w:cs="新宋体"/>
          <w:color w:val="auto"/>
          <w:sz w:val="22"/>
          <w:szCs w:val="22"/>
          <w:highlight w:val="none"/>
          <w:lang w:val="en-US" w:eastAsia="zh-CN"/>
        </w:rPr>
        <w:t>合同份额占合同总金额的占比</w:t>
      </w:r>
      <w:r>
        <w:rPr>
          <w:rFonts w:hint="eastAsia" w:ascii="新宋体" w:hAnsi="新宋体" w:eastAsia="新宋体" w:cs="新宋体"/>
          <w:color w:val="auto"/>
          <w:sz w:val="22"/>
          <w:szCs w:val="22"/>
          <w:highlight w:val="none"/>
        </w:rPr>
        <w:t>比例如下：</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w:t>
      </w:r>
    </w:p>
    <w:p w14:paraId="07F09531">
      <w:pPr>
        <w:keepNext w:val="0"/>
        <w:keepLines w:val="0"/>
        <w:pageBreakBefore w:val="0"/>
        <w:widowControl w:val="0"/>
        <w:kinsoku/>
        <w:wordWrap/>
        <w:overflowPunct/>
        <w:topLinePunct w:val="0"/>
        <w:autoSpaceDE/>
        <w:autoSpaceDN/>
        <w:bidi w:val="0"/>
        <w:adjustRightInd/>
        <w:snapToGrid/>
        <w:spacing w:line="460" w:lineRule="exact"/>
        <w:ind w:firstLine="352" w:firstLineChars="16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5、联合体中标后，本联合体协议是合同的附件，对联合体各成员单位有合同约束力。</w:t>
      </w:r>
    </w:p>
    <w:p w14:paraId="11885E5A">
      <w:pPr>
        <w:keepNext w:val="0"/>
        <w:keepLines w:val="0"/>
        <w:pageBreakBefore w:val="0"/>
        <w:widowControl w:val="0"/>
        <w:kinsoku/>
        <w:wordWrap/>
        <w:overflowPunct/>
        <w:topLinePunct w:val="0"/>
        <w:autoSpaceDE/>
        <w:autoSpaceDN/>
        <w:bidi w:val="0"/>
        <w:adjustRightInd/>
        <w:snapToGrid/>
        <w:spacing w:line="460" w:lineRule="exact"/>
        <w:ind w:firstLine="352" w:firstLineChars="16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6、本协议书自签署之日起生效，联合体未中标或者中标时合同履行完毕后自动失效。</w:t>
      </w:r>
    </w:p>
    <w:p w14:paraId="24526D3C">
      <w:pPr>
        <w:keepNext w:val="0"/>
        <w:keepLines w:val="0"/>
        <w:pageBreakBefore w:val="0"/>
        <w:widowControl w:val="0"/>
        <w:kinsoku/>
        <w:wordWrap/>
        <w:overflowPunct/>
        <w:topLinePunct w:val="0"/>
        <w:autoSpaceDE/>
        <w:autoSpaceDN/>
        <w:bidi w:val="0"/>
        <w:adjustRightInd/>
        <w:snapToGrid/>
        <w:spacing w:line="460" w:lineRule="exact"/>
        <w:ind w:firstLine="352" w:firstLineChars="16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7、本协议书一式</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份，联合体成员和招标人各执一份。</w:t>
      </w:r>
    </w:p>
    <w:p w14:paraId="27925554">
      <w:pPr>
        <w:keepNext w:val="0"/>
        <w:keepLines w:val="0"/>
        <w:pageBreakBefore w:val="0"/>
        <w:widowControl w:val="0"/>
        <w:kinsoku/>
        <w:wordWrap/>
        <w:overflowPunct/>
        <w:topLinePunct w:val="0"/>
        <w:autoSpaceDE/>
        <w:autoSpaceDN/>
        <w:bidi w:val="0"/>
        <w:adjustRightInd/>
        <w:snapToGrid/>
        <w:spacing w:line="460" w:lineRule="exact"/>
        <w:ind w:firstLine="2785" w:firstLineChars="1266"/>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牵头人名称：</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（盖单位公章）</w:t>
      </w:r>
    </w:p>
    <w:p w14:paraId="10D867F8">
      <w:pPr>
        <w:keepNext w:val="0"/>
        <w:keepLines w:val="0"/>
        <w:pageBreakBefore w:val="0"/>
        <w:widowControl w:val="0"/>
        <w:kinsoku/>
        <w:wordWrap/>
        <w:overflowPunct/>
        <w:topLinePunct w:val="0"/>
        <w:autoSpaceDE/>
        <w:autoSpaceDN/>
        <w:bidi w:val="0"/>
        <w:adjustRightInd/>
        <w:snapToGrid/>
        <w:spacing w:line="460" w:lineRule="exact"/>
        <w:ind w:firstLine="1100" w:firstLineChars="5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法定代表人（或企业负责人）</w:t>
      </w:r>
      <w:r>
        <w:rPr>
          <w:rFonts w:hint="eastAsia" w:ascii="新宋体" w:hAnsi="新宋体" w:eastAsia="新宋体" w:cs="新宋体"/>
          <w:color w:val="auto"/>
          <w:sz w:val="22"/>
          <w:szCs w:val="22"/>
          <w:highlight w:val="none"/>
        </w:rPr>
        <w:t>或授权代表：</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（签字或盖章）</w:t>
      </w:r>
    </w:p>
    <w:p w14:paraId="7DB25F5B">
      <w:pPr>
        <w:keepNext w:val="0"/>
        <w:keepLines w:val="0"/>
        <w:pageBreakBefore w:val="0"/>
        <w:widowControl w:val="0"/>
        <w:kinsoku/>
        <w:wordWrap/>
        <w:overflowPunct/>
        <w:topLinePunct w:val="0"/>
        <w:autoSpaceDE/>
        <w:autoSpaceDN/>
        <w:bidi w:val="0"/>
        <w:adjustRightInd/>
        <w:snapToGrid/>
        <w:spacing w:line="460" w:lineRule="exact"/>
        <w:ind w:firstLine="2785" w:firstLineChars="1266"/>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联合体</w:t>
      </w:r>
      <w:r>
        <w:rPr>
          <w:rFonts w:hint="eastAsia" w:ascii="新宋体" w:hAnsi="新宋体" w:eastAsia="新宋体" w:cs="新宋体"/>
          <w:color w:val="auto"/>
          <w:sz w:val="22"/>
          <w:szCs w:val="22"/>
          <w:highlight w:val="none"/>
        </w:rPr>
        <w:t>成员名称：</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（盖单位公章）</w:t>
      </w:r>
    </w:p>
    <w:p w14:paraId="226B2D6A">
      <w:pPr>
        <w:keepNext w:val="0"/>
        <w:keepLines w:val="0"/>
        <w:pageBreakBefore w:val="0"/>
        <w:widowControl w:val="0"/>
        <w:kinsoku/>
        <w:wordWrap/>
        <w:overflowPunct/>
        <w:topLinePunct w:val="0"/>
        <w:autoSpaceDE/>
        <w:autoSpaceDN/>
        <w:bidi w:val="0"/>
        <w:adjustRightInd/>
        <w:snapToGrid/>
        <w:spacing w:line="460" w:lineRule="exact"/>
        <w:ind w:firstLine="1100" w:firstLineChars="5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法定代表人（或企业负责人）</w:t>
      </w:r>
      <w:r>
        <w:rPr>
          <w:rFonts w:hint="eastAsia" w:ascii="新宋体" w:hAnsi="新宋体" w:eastAsia="新宋体" w:cs="新宋体"/>
          <w:color w:val="auto"/>
          <w:sz w:val="22"/>
          <w:szCs w:val="22"/>
          <w:highlight w:val="none"/>
        </w:rPr>
        <w:t>或授权代表：</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（签字或盖章）</w:t>
      </w:r>
    </w:p>
    <w:p w14:paraId="65333970">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年</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月</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 xml:space="preserve">日             </w:t>
      </w:r>
    </w:p>
    <w:p w14:paraId="1124FE7E">
      <w:pPr>
        <w:keepNext w:val="0"/>
        <w:keepLines w:val="0"/>
        <w:pageBreakBefore w:val="0"/>
        <w:widowControl w:val="0"/>
        <w:kinsoku/>
        <w:wordWrap/>
        <w:overflowPunct/>
        <w:topLinePunct w:val="0"/>
        <w:autoSpaceDE/>
        <w:autoSpaceDN/>
        <w:bidi w:val="0"/>
        <w:adjustRightInd/>
        <w:snapToGrid/>
        <w:spacing w:line="460" w:lineRule="exact"/>
        <w:ind w:right="420"/>
        <w:textAlignment w:val="auto"/>
        <w:rPr>
          <w:rFonts w:hint="eastAsia" w:ascii="新宋体" w:hAnsi="新宋体" w:eastAsia="新宋体" w:cs="新宋体"/>
          <w:color w:val="auto"/>
          <w:sz w:val="22"/>
          <w:szCs w:val="22"/>
          <w:highlight w:val="none"/>
        </w:rPr>
      </w:pPr>
    </w:p>
    <w:p w14:paraId="5C7F16DB">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新宋体" w:hAnsi="新宋体" w:eastAsia="新宋体" w:cs="新宋体"/>
          <w:b/>
          <w:color w:val="auto"/>
          <w:sz w:val="22"/>
          <w:highlight w:val="none"/>
          <w:lang w:val="en-US" w:eastAsia="zh-CN"/>
        </w:rPr>
      </w:pPr>
      <w:r>
        <w:rPr>
          <w:rFonts w:hint="eastAsia" w:ascii="新宋体" w:hAnsi="新宋体" w:eastAsia="新宋体" w:cs="新宋体"/>
          <w:color w:val="auto"/>
          <w:sz w:val="22"/>
          <w:szCs w:val="22"/>
          <w:highlight w:val="none"/>
        </w:rPr>
        <w:t>备注：本协议书由授权代表签字或盖章的，应附</w:t>
      </w:r>
      <w:r>
        <w:rPr>
          <w:rFonts w:hint="eastAsia" w:ascii="新宋体" w:hAnsi="新宋体" w:eastAsia="新宋体" w:cs="新宋体"/>
          <w:color w:val="auto"/>
          <w:sz w:val="22"/>
          <w:szCs w:val="22"/>
          <w:highlight w:val="none"/>
          <w:lang w:eastAsia="zh-CN"/>
        </w:rPr>
        <w:t>法定代表人（或企业负责人）</w:t>
      </w:r>
      <w:r>
        <w:rPr>
          <w:rFonts w:hint="eastAsia" w:ascii="新宋体" w:hAnsi="新宋体" w:eastAsia="新宋体" w:cs="新宋体"/>
          <w:color w:val="auto"/>
          <w:sz w:val="22"/>
          <w:szCs w:val="22"/>
          <w:highlight w:val="none"/>
        </w:rPr>
        <w:t>签字或盖章的授权委托书。</w:t>
      </w:r>
    </w:p>
    <w:bookmarkEnd w:id="26"/>
    <w:p w14:paraId="43E64956">
      <w:pPr>
        <w:pStyle w:val="23"/>
        <w:ind w:left="860" w:hanging="440"/>
        <w:rPr>
          <w:rFonts w:hint="eastAsia" w:ascii="新宋体" w:hAnsi="新宋体" w:eastAsia="新宋体" w:cs="新宋体"/>
          <w:color w:val="auto"/>
          <w:kern w:val="0"/>
          <w:sz w:val="22"/>
          <w:szCs w:val="22"/>
          <w:highlight w:val="none"/>
        </w:rPr>
      </w:pPr>
    </w:p>
    <w:p w14:paraId="2E035865">
      <w:pPr>
        <w:pStyle w:val="23"/>
        <w:ind w:left="860" w:hanging="440"/>
        <w:rPr>
          <w:rFonts w:hint="eastAsia" w:ascii="新宋体" w:hAnsi="新宋体" w:eastAsia="新宋体" w:cs="新宋体"/>
          <w:color w:val="auto"/>
          <w:kern w:val="0"/>
          <w:sz w:val="22"/>
          <w:szCs w:val="22"/>
          <w:highlight w:val="none"/>
        </w:rPr>
      </w:pPr>
    </w:p>
    <w:p w14:paraId="3914FB1C">
      <w:pPr>
        <w:pStyle w:val="23"/>
        <w:spacing w:line="460" w:lineRule="exact"/>
        <w:ind w:left="0" w:leftChars="0"/>
        <w:outlineLvl w:val="1"/>
        <w:rPr>
          <w:rFonts w:hint="eastAsia" w:ascii="新宋体" w:hAnsi="新宋体" w:eastAsia="新宋体" w:cs="新宋体"/>
          <w:b/>
          <w:color w:val="auto"/>
          <w:sz w:val="22"/>
          <w:szCs w:val="22"/>
          <w:highlight w:val="none"/>
        </w:rPr>
      </w:pPr>
      <w:bookmarkStart w:id="27" w:name="_Toc23058"/>
      <w:r>
        <w:rPr>
          <w:rFonts w:hint="eastAsia" w:ascii="新宋体" w:hAnsi="新宋体" w:eastAsia="新宋体" w:cs="新宋体"/>
          <w:b/>
          <w:color w:val="auto"/>
          <w:sz w:val="22"/>
          <w:szCs w:val="22"/>
          <w:highlight w:val="none"/>
        </w:rPr>
        <w:t>附件二</w:t>
      </w:r>
      <w:bookmarkEnd w:id="27"/>
    </w:p>
    <w:p w14:paraId="68F184B6">
      <w:pPr>
        <w:pStyle w:val="5"/>
        <w:keepNext w:val="0"/>
        <w:keepLines w:val="0"/>
        <w:tabs>
          <w:tab w:val="left" w:pos="774"/>
        </w:tabs>
        <w:autoSpaceDE w:val="0"/>
        <w:autoSpaceDN w:val="0"/>
        <w:spacing w:before="240" w:line="400" w:lineRule="exact"/>
        <w:jc w:val="center"/>
        <w:rPr>
          <w:rFonts w:hint="eastAsia" w:ascii="新宋体" w:hAnsi="新宋体" w:eastAsia="新宋体" w:cs="新宋体"/>
          <w:bCs/>
          <w:color w:val="auto"/>
          <w:szCs w:val="28"/>
          <w:highlight w:val="none"/>
        </w:rPr>
      </w:pPr>
      <w:bookmarkStart w:id="28" w:name="_Toc20642"/>
      <w:r>
        <w:rPr>
          <w:rFonts w:hint="eastAsia" w:ascii="新宋体" w:hAnsi="新宋体" w:eastAsia="新宋体" w:cs="新宋体"/>
          <w:bCs/>
          <w:color w:val="auto"/>
          <w:szCs w:val="28"/>
          <w:highlight w:val="none"/>
        </w:rPr>
        <w:t>报价文件</w:t>
      </w:r>
      <w:bookmarkEnd w:id="28"/>
    </w:p>
    <w:p w14:paraId="302CD382">
      <w:pPr>
        <w:spacing w:line="400" w:lineRule="exact"/>
        <w:jc w:val="center"/>
        <w:outlineLvl w:val="3"/>
        <w:rPr>
          <w:rFonts w:hint="eastAsia" w:ascii="新宋体" w:hAnsi="新宋体" w:eastAsia="新宋体" w:cs="新宋体"/>
          <w:b/>
          <w:color w:val="auto"/>
          <w:sz w:val="22"/>
          <w:highlight w:val="none"/>
        </w:rPr>
      </w:pPr>
      <w:r>
        <w:rPr>
          <w:rFonts w:hint="eastAsia" w:ascii="新宋体" w:hAnsi="新宋体" w:eastAsia="新宋体" w:cs="新宋体"/>
          <w:b/>
          <w:bCs/>
          <w:color w:val="auto"/>
          <w:sz w:val="28"/>
          <w:szCs w:val="28"/>
          <w:highlight w:val="none"/>
          <w:lang w:val="en-US" w:eastAsia="zh-CN"/>
        </w:rPr>
        <w:t>1</w:t>
      </w:r>
      <w:r>
        <w:rPr>
          <w:rFonts w:hint="eastAsia" w:ascii="新宋体" w:hAnsi="新宋体" w:eastAsia="新宋体" w:cs="新宋体"/>
          <w:b/>
          <w:bCs/>
          <w:color w:val="auto"/>
          <w:sz w:val="28"/>
          <w:szCs w:val="28"/>
          <w:highlight w:val="none"/>
        </w:rPr>
        <w:t>、投标报价一览表</w:t>
      </w:r>
    </w:p>
    <w:p w14:paraId="5F04AE8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761F1EC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1"/>
        <w:gridCol w:w="2329"/>
        <w:gridCol w:w="2790"/>
        <w:gridCol w:w="3745"/>
      </w:tblGrid>
      <w:tr w14:paraId="4DBC2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98" w:type="pct"/>
            <w:noWrap w:val="0"/>
            <w:vAlign w:val="center"/>
          </w:tcPr>
          <w:p w14:paraId="00FA604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2328" w:type="dxa"/>
            <w:noWrap w:val="0"/>
            <w:vAlign w:val="center"/>
          </w:tcPr>
          <w:p w14:paraId="3C9E08F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区域</w:t>
            </w:r>
          </w:p>
        </w:tc>
        <w:tc>
          <w:tcPr>
            <w:tcW w:w="1417" w:type="pct"/>
            <w:noWrap w:val="0"/>
            <w:vAlign w:val="center"/>
          </w:tcPr>
          <w:p w14:paraId="3634245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床日综合单价（元</w:t>
            </w:r>
            <w:r>
              <w:rPr>
                <w:rFonts w:hint="eastAsia" w:ascii="新宋体" w:hAnsi="新宋体" w:eastAsia="新宋体" w:cs="新宋体"/>
                <w:b w:val="0"/>
                <w:bCs w:val="0"/>
                <w:color w:val="auto"/>
                <w:sz w:val="22"/>
                <w:szCs w:val="22"/>
                <w:highlight w:val="none"/>
                <w:lang w:val="en-US" w:eastAsia="zh-CN"/>
              </w:rPr>
              <w:t>/床日</w:t>
            </w:r>
            <w:r>
              <w:rPr>
                <w:rFonts w:hint="eastAsia" w:ascii="新宋体" w:hAnsi="新宋体" w:eastAsia="新宋体" w:cs="新宋体"/>
                <w:b w:val="0"/>
                <w:bCs w:val="0"/>
                <w:color w:val="auto"/>
                <w:sz w:val="22"/>
                <w:szCs w:val="22"/>
                <w:highlight w:val="none"/>
              </w:rPr>
              <w:t>）</w:t>
            </w:r>
          </w:p>
        </w:tc>
        <w:tc>
          <w:tcPr>
            <w:tcW w:w="1902" w:type="pct"/>
            <w:noWrap w:val="0"/>
            <w:vAlign w:val="center"/>
          </w:tcPr>
          <w:p w14:paraId="333ABB1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备注</w:t>
            </w:r>
          </w:p>
        </w:tc>
      </w:tr>
      <w:tr w14:paraId="14DFB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498" w:type="pct"/>
            <w:vMerge w:val="restart"/>
            <w:noWrap w:val="0"/>
            <w:vAlign w:val="center"/>
          </w:tcPr>
          <w:p w14:paraId="2B66163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2328" w:type="dxa"/>
            <w:vMerge w:val="restart"/>
            <w:noWrap w:val="0"/>
            <w:vAlign w:val="center"/>
          </w:tcPr>
          <w:p w14:paraId="6A872F0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val="0"/>
                <w:bCs/>
                <w:color w:val="auto"/>
                <w:sz w:val="22"/>
                <w:szCs w:val="22"/>
                <w:highlight w:val="none"/>
                <w:lang w:eastAsia="zh-CN"/>
              </w:rPr>
            </w:pPr>
            <w:r>
              <w:rPr>
                <w:rFonts w:hint="eastAsia" w:ascii="新宋体" w:hAnsi="新宋体" w:eastAsia="新宋体" w:cs="新宋体"/>
                <w:b w:val="0"/>
                <w:bCs/>
                <w:color w:val="auto"/>
                <w:sz w:val="22"/>
                <w:szCs w:val="22"/>
                <w:highlight w:val="none"/>
              </w:rPr>
              <w:t>布草洗涤（含病房布草及其他有关医用布草）</w:t>
            </w:r>
          </w:p>
        </w:tc>
        <w:tc>
          <w:tcPr>
            <w:tcW w:w="1417" w:type="pct"/>
            <w:noWrap w:val="0"/>
            <w:vAlign w:val="center"/>
          </w:tcPr>
          <w:p w14:paraId="41EC673A">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大写:</w:t>
            </w:r>
          </w:p>
        </w:tc>
        <w:tc>
          <w:tcPr>
            <w:tcW w:w="1902" w:type="pct"/>
            <w:vMerge w:val="restart"/>
            <w:noWrap w:val="0"/>
            <w:vAlign w:val="center"/>
          </w:tcPr>
          <w:p w14:paraId="0EFDEA6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具体内容根据采购人实际需要并经我公司踏勘现场，风险自行承担。</w:t>
            </w:r>
          </w:p>
        </w:tc>
      </w:tr>
      <w:tr w14:paraId="22045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498" w:type="pct"/>
            <w:vMerge w:val="continue"/>
            <w:noWrap w:val="0"/>
            <w:vAlign w:val="center"/>
          </w:tcPr>
          <w:p w14:paraId="7395979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p>
        </w:tc>
        <w:tc>
          <w:tcPr>
            <w:tcW w:w="1182" w:type="pct"/>
            <w:vMerge w:val="continue"/>
            <w:noWrap w:val="0"/>
            <w:vAlign w:val="center"/>
          </w:tcPr>
          <w:p w14:paraId="37F6CED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lang w:eastAsia="zh-CN"/>
              </w:rPr>
            </w:pPr>
          </w:p>
        </w:tc>
        <w:tc>
          <w:tcPr>
            <w:tcW w:w="1417" w:type="pct"/>
            <w:noWrap w:val="0"/>
            <w:vAlign w:val="center"/>
          </w:tcPr>
          <w:p w14:paraId="76F93965">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小写:</w:t>
            </w:r>
          </w:p>
        </w:tc>
        <w:tc>
          <w:tcPr>
            <w:tcW w:w="1902" w:type="pct"/>
            <w:vMerge w:val="continue"/>
            <w:noWrap w:val="0"/>
            <w:vAlign w:val="center"/>
          </w:tcPr>
          <w:p w14:paraId="3F5A26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p>
        </w:tc>
      </w:tr>
    </w:tbl>
    <w:p w14:paraId="7AA79C9D">
      <w:pPr>
        <w:spacing w:line="450" w:lineRule="exact"/>
        <w:ind w:firstLine="541" w:firstLineChars="245"/>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说明：</w:t>
      </w:r>
      <w:r>
        <w:rPr>
          <w:rFonts w:hint="eastAsia" w:ascii="新宋体" w:hAnsi="新宋体" w:eastAsia="新宋体" w:cs="新宋体"/>
          <w:b/>
          <w:color w:val="auto"/>
          <w:sz w:val="22"/>
          <w:highlight w:val="none"/>
          <w:lang w:val="en-US" w:eastAsia="zh-CN"/>
        </w:rPr>
        <w:t>1</w:t>
      </w:r>
      <w:r>
        <w:rPr>
          <w:rFonts w:hint="eastAsia" w:ascii="新宋体" w:hAnsi="新宋体" w:eastAsia="新宋体" w:cs="新宋体"/>
          <w:b/>
          <w:color w:val="auto"/>
          <w:sz w:val="22"/>
          <w:highlight w:val="none"/>
        </w:rPr>
        <w:t>、不提供此表格将被视为没有实质性响应招标文件</w:t>
      </w:r>
    </w:p>
    <w:p w14:paraId="29AA6AAE">
      <w:pPr>
        <w:pStyle w:val="9"/>
        <w:keepNext w:val="0"/>
        <w:keepLines w:val="0"/>
        <w:pageBreakBefore w:val="0"/>
        <w:widowControl w:val="0"/>
        <w:kinsoku/>
        <w:wordWrap/>
        <w:overflowPunct/>
        <w:topLinePunct w:val="0"/>
        <w:autoSpaceDE/>
        <w:autoSpaceDN/>
        <w:bidi w:val="0"/>
        <w:adjustRightInd/>
        <w:snapToGrid/>
        <w:spacing w:line="460" w:lineRule="exact"/>
        <w:ind w:firstLine="400"/>
        <w:textAlignment w:val="auto"/>
        <w:rPr>
          <w:rFonts w:hint="eastAsia" w:ascii="新宋体" w:hAnsi="新宋体" w:eastAsia="新宋体" w:cs="新宋体"/>
          <w:color w:val="auto"/>
          <w:highlight w:val="none"/>
        </w:rPr>
      </w:pPr>
    </w:p>
    <w:p w14:paraId="0CD98158">
      <w:pPr>
        <w:pStyle w:val="26"/>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highlight w:val="none"/>
        </w:rPr>
      </w:pPr>
    </w:p>
    <w:p w14:paraId="09E46B45">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24901981">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110033C7">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4383B829">
      <w:pPr>
        <w:spacing w:line="420" w:lineRule="exact"/>
        <w:rPr>
          <w:rFonts w:hint="eastAsia" w:ascii="新宋体" w:hAnsi="新宋体" w:eastAsia="新宋体" w:cs="新宋体"/>
          <w:b/>
          <w:bCs/>
          <w:color w:val="auto"/>
          <w:sz w:val="28"/>
          <w:szCs w:val="28"/>
          <w:highlight w:val="none"/>
        </w:rPr>
      </w:pPr>
    </w:p>
    <w:p w14:paraId="5C9B005D">
      <w:pPr>
        <w:rPr>
          <w:rFonts w:hint="eastAsia" w:ascii="新宋体" w:hAnsi="新宋体" w:eastAsia="新宋体" w:cs="新宋体"/>
          <w:b/>
          <w:bCs/>
          <w:color w:val="auto"/>
          <w:sz w:val="28"/>
          <w:szCs w:val="28"/>
          <w:highlight w:val="none"/>
        </w:rPr>
      </w:pPr>
    </w:p>
    <w:p w14:paraId="1BAF42ED">
      <w:pPr>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br w:type="page"/>
      </w:r>
    </w:p>
    <w:p w14:paraId="476EE461">
      <w:pPr>
        <w:jc w:val="left"/>
        <w:outlineLvl w:val="1"/>
        <w:rPr>
          <w:rFonts w:hint="eastAsia" w:ascii="新宋体" w:hAnsi="新宋体" w:eastAsia="新宋体" w:cs="新宋体"/>
          <w:b/>
          <w:bCs/>
          <w:color w:val="auto"/>
          <w:sz w:val="22"/>
          <w:szCs w:val="22"/>
          <w:highlight w:val="none"/>
        </w:rPr>
      </w:pPr>
      <w:bookmarkStart w:id="29" w:name="_Toc22040"/>
      <w:r>
        <w:rPr>
          <w:rFonts w:hint="eastAsia" w:ascii="新宋体" w:hAnsi="新宋体" w:eastAsia="新宋体" w:cs="新宋体"/>
          <w:b/>
          <w:bCs/>
          <w:color w:val="auto"/>
          <w:sz w:val="22"/>
          <w:szCs w:val="22"/>
          <w:highlight w:val="none"/>
        </w:rPr>
        <w:t>附件三</w:t>
      </w:r>
      <w:bookmarkEnd w:id="29"/>
    </w:p>
    <w:p w14:paraId="4A0886BA">
      <w:pPr>
        <w:spacing w:line="380" w:lineRule="exact"/>
        <w:jc w:val="center"/>
        <w:outlineLvl w:val="2"/>
        <w:rPr>
          <w:rFonts w:hint="eastAsia" w:ascii="新宋体" w:hAnsi="新宋体" w:eastAsia="新宋体" w:cs="新宋体"/>
          <w:b/>
          <w:bCs/>
          <w:color w:val="auto"/>
          <w:sz w:val="28"/>
          <w:szCs w:val="28"/>
          <w:highlight w:val="none"/>
        </w:rPr>
      </w:pPr>
      <w:bookmarkStart w:id="30" w:name="_Toc24178"/>
      <w:r>
        <w:rPr>
          <w:rFonts w:hint="eastAsia" w:ascii="新宋体" w:hAnsi="新宋体" w:eastAsia="新宋体" w:cs="新宋体"/>
          <w:b/>
          <w:bCs/>
          <w:color w:val="auto"/>
          <w:sz w:val="28"/>
          <w:szCs w:val="28"/>
          <w:highlight w:val="none"/>
        </w:rPr>
        <w:t>商务技术文件</w:t>
      </w:r>
      <w:bookmarkEnd w:id="30"/>
    </w:p>
    <w:p w14:paraId="285D8230">
      <w:pPr>
        <w:spacing w:line="400" w:lineRule="exact"/>
        <w:jc w:val="center"/>
        <w:outlineLvl w:val="3"/>
        <w:rPr>
          <w:rFonts w:hint="eastAsia" w:ascii="新宋体" w:hAnsi="新宋体" w:eastAsia="新宋体" w:cs="新宋体"/>
          <w:bCs/>
          <w:color w:val="auto"/>
          <w:szCs w:val="28"/>
          <w:highlight w:val="none"/>
          <w:lang w:val="zh-CN"/>
        </w:rPr>
      </w:pPr>
      <w:r>
        <w:rPr>
          <w:rFonts w:hint="eastAsia" w:ascii="新宋体" w:hAnsi="新宋体" w:eastAsia="新宋体" w:cs="新宋体"/>
          <w:b/>
          <w:bCs/>
          <w:color w:val="auto"/>
          <w:sz w:val="28"/>
          <w:szCs w:val="28"/>
          <w:highlight w:val="none"/>
        </w:rPr>
        <w:t>1、</w:t>
      </w:r>
      <w:r>
        <w:rPr>
          <w:rFonts w:hint="eastAsia" w:ascii="新宋体" w:hAnsi="新宋体" w:eastAsia="新宋体" w:cs="新宋体"/>
          <w:b/>
          <w:bCs/>
          <w:color w:val="auto"/>
          <w:sz w:val="28"/>
          <w:szCs w:val="28"/>
          <w:highlight w:val="none"/>
          <w:lang w:val="zh-CN"/>
        </w:rPr>
        <w:t>投标</w:t>
      </w:r>
      <w:r>
        <w:rPr>
          <w:rFonts w:hint="eastAsia" w:ascii="新宋体" w:hAnsi="新宋体" w:eastAsia="新宋体" w:cs="新宋体"/>
          <w:b/>
          <w:bCs/>
          <w:color w:val="auto"/>
          <w:sz w:val="28"/>
          <w:szCs w:val="28"/>
          <w:highlight w:val="none"/>
        </w:rPr>
        <w:t>响应</w:t>
      </w:r>
      <w:r>
        <w:rPr>
          <w:rFonts w:hint="eastAsia" w:ascii="新宋体" w:hAnsi="新宋体" w:eastAsia="新宋体" w:cs="新宋体"/>
          <w:b/>
          <w:bCs/>
          <w:color w:val="auto"/>
          <w:sz w:val="28"/>
          <w:szCs w:val="28"/>
          <w:highlight w:val="none"/>
          <w:lang w:val="zh-CN"/>
        </w:rPr>
        <w:t>函</w:t>
      </w:r>
    </w:p>
    <w:p w14:paraId="63B6E8F8">
      <w:pPr>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致：</w:t>
      </w:r>
      <w:r>
        <w:rPr>
          <w:rFonts w:hint="eastAsia" w:ascii="新宋体" w:hAnsi="新宋体" w:eastAsia="新宋体" w:cs="新宋体"/>
          <w:color w:val="auto"/>
          <w:sz w:val="22"/>
          <w:szCs w:val="22"/>
          <w:highlight w:val="none"/>
          <w:lang w:eastAsia="zh-CN"/>
        </w:rPr>
        <w:t>温州市第七人民医院</w:t>
      </w:r>
    </w:p>
    <w:p w14:paraId="2B3322E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根据贵方为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项目（项目编号：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bCs/>
          <w:color w:val="auto"/>
          <w:sz w:val="22"/>
          <w:szCs w:val="22"/>
          <w:highlight w:val="none"/>
          <w:u w:val="single"/>
        </w:rPr>
        <w:t xml:space="preserve"> </w:t>
      </w:r>
      <w:r>
        <w:rPr>
          <w:rFonts w:hint="eastAsia" w:ascii="新宋体" w:hAnsi="新宋体" w:eastAsia="新宋体" w:cs="新宋体"/>
          <w:color w:val="auto"/>
          <w:sz w:val="22"/>
          <w:szCs w:val="22"/>
          <w:highlight w:val="none"/>
        </w:rPr>
        <w:t>）的投标邀请，我方</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（投标人名称）作为投标人正式授权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（授权代表全名，职务）代表我方处理有关本投标的一切事宜。为此：</w:t>
      </w:r>
    </w:p>
    <w:p w14:paraId="786A211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1、我方同意在投标人编制和提交投标文件须知规定的开标日期起遵守本投标书中的承诺且在投标有效期满之前均具有约束力。</w:t>
      </w:r>
    </w:p>
    <w:p w14:paraId="6C87FBD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2、我方承诺已经具备《中华人民共和国政府采购法》中规定的参加政府采购活动的投标人应当具备的条件：</w:t>
      </w:r>
    </w:p>
    <w:p w14:paraId="1CE3875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（1）具有独立承担民事责任的能力；</w:t>
      </w:r>
    </w:p>
    <w:p w14:paraId="2FB4668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（2）遵守国家法律、行政法规，具有良好的信誉和商业道德；</w:t>
      </w:r>
    </w:p>
    <w:p w14:paraId="0374585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（3）具有履行合同的能力和良好的履行合同记录；</w:t>
      </w:r>
    </w:p>
    <w:p w14:paraId="29B04CCB">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（4）良好的资金、财务状况；</w:t>
      </w:r>
    </w:p>
    <w:p w14:paraId="14FD9B4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（5）提供的产品和服务符合中国政府规定的相应标准和环保标准；</w:t>
      </w:r>
    </w:p>
    <w:p w14:paraId="5CD990E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（6）没有违反政府采购法规、政策的记录；</w:t>
      </w:r>
    </w:p>
    <w:p w14:paraId="4CAFAA8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（7）没有发生重大经济纠纷和走私犯罪记录。</w:t>
      </w:r>
    </w:p>
    <w:p w14:paraId="76C0143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3、提供编制和提交投标文件须知规定的全部投标文件，包括资格文件、报价文件、商务技术文件。具体内容为：</w:t>
      </w:r>
    </w:p>
    <w:p w14:paraId="11683AC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（1）资格文件</w:t>
      </w:r>
    </w:p>
    <w:p w14:paraId="511350F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（2）报价文件；</w:t>
      </w:r>
    </w:p>
    <w:p w14:paraId="7D16DA5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lang w:val="zh-CN"/>
        </w:rPr>
        <w:t>商务技术文件</w:t>
      </w:r>
      <w:r>
        <w:rPr>
          <w:rFonts w:hint="eastAsia" w:ascii="新宋体" w:hAnsi="新宋体" w:eastAsia="新宋体" w:cs="新宋体"/>
          <w:color w:val="auto"/>
          <w:sz w:val="22"/>
          <w:szCs w:val="22"/>
          <w:highlight w:val="none"/>
        </w:rPr>
        <w:t>；</w:t>
      </w:r>
    </w:p>
    <w:p w14:paraId="3791FD3D">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（4）编制和提交投标文件须知要求投标人提交的全部文件；</w:t>
      </w:r>
    </w:p>
    <w:p w14:paraId="21365E6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（5）按招标文件要求提供和交付的货物和服务的投标报价详见开标一览表；</w:t>
      </w:r>
    </w:p>
    <w:p w14:paraId="223A55F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（6）保证忠实地执行双方所签订的合同，并承担合同规定的责任和义务；</w:t>
      </w:r>
    </w:p>
    <w:p w14:paraId="698C44E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（7）保证遵守招标文件中的其他有关规定。</w:t>
      </w:r>
    </w:p>
    <w:p w14:paraId="42E96D6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4、投标有效期内不撤销投标文件，如中标，有效期将延至合同终止日为止。</w:t>
      </w:r>
    </w:p>
    <w:p w14:paraId="395146E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5、我方完全理解贵方不一定要接受最低价的投标。</w:t>
      </w:r>
    </w:p>
    <w:p w14:paraId="3ECF793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6、如中标，按招标文件规定与招标人签订合同。如拒绝签订合同，承诺按本项目预算金额的2%对招标人进行赔偿；赔偿金额不足以弥补招标人损失的，承诺继续承担超过部分的损失。</w:t>
      </w:r>
    </w:p>
    <w:p w14:paraId="225BA3D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7、如中标，按招标文件规定的招标代理服务费标准，在领取中标通知书时向招标代理机构支付招标代理服务费。</w:t>
      </w:r>
    </w:p>
    <w:p w14:paraId="4BB371C2">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8、我方愿意向贵方提供任何与该项投标有关的数据、情况和服务资料。若贵方需要，我方愿意提供我方作出的一切承诺的证明材料。</w:t>
      </w:r>
    </w:p>
    <w:p w14:paraId="1960B25D">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9、我方已详细审核全部招标文件，包括招标文件修改书（如有的话）、参考资料及有关附件，确认无误。我方完全理解并接受招标文件的各项规定和要求，对招标文件的合理性、合法性不再有异议。</w:t>
      </w:r>
    </w:p>
    <w:p w14:paraId="62462A6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10、我方将严格遵守《中华人民共和国政府采购法》第七十七条规定，投标人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14:paraId="4063A40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（1）提供虚假材料谋取中标、成交的；</w:t>
      </w:r>
    </w:p>
    <w:p w14:paraId="3400448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（2）采取不正当手段诋毁、排挤其他投标人的；</w:t>
      </w:r>
    </w:p>
    <w:p w14:paraId="6F722BF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（3）与招标人、其它投标人或者招标代理机构恶意串通的；</w:t>
      </w:r>
    </w:p>
    <w:p w14:paraId="5E6E49E2">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（4）向招标人、招标代理机构行贿或者提供其他不正当利益的；</w:t>
      </w:r>
    </w:p>
    <w:p w14:paraId="308D1CF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（5）在招标采购过程中与招标人进行协商谈判的；</w:t>
      </w:r>
    </w:p>
    <w:p w14:paraId="2B5181AB">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（6）拒绝有关部门监督检查或提供虚假情况的。</w:t>
      </w:r>
    </w:p>
    <w:p w14:paraId="0E3DE0A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投标人有前款第（1）至（5）项情形之一的，中标、成交无效。</w:t>
      </w:r>
    </w:p>
    <w:p w14:paraId="51D833C4">
      <w:pPr>
        <w:spacing w:line="460" w:lineRule="exact"/>
        <w:rPr>
          <w:rFonts w:hint="eastAsia" w:ascii="新宋体" w:hAnsi="新宋体" w:eastAsia="新宋体" w:cs="新宋体"/>
          <w:color w:val="auto"/>
          <w:sz w:val="22"/>
          <w:szCs w:val="22"/>
          <w:highlight w:val="none"/>
          <w:lang w:val="zh-CN"/>
        </w:rPr>
      </w:pPr>
    </w:p>
    <w:p w14:paraId="2E54625A">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法定（授权）代表人（签字）：</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ab/>
      </w:r>
    </w:p>
    <w:p w14:paraId="0B3A7496">
      <w:pPr>
        <w:spacing w:line="460" w:lineRule="exact"/>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投标人（盖 章）：</w:t>
      </w:r>
      <w:r>
        <w:rPr>
          <w:rFonts w:hint="eastAsia" w:ascii="新宋体" w:hAnsi="新宋体" w:eastAsia="新宋体" w:cs="新宋体"/>
          <w:color w:val="auto"/>
          <w:sz w:val="22"/>
          <w:szCs w:val="22"/>
          <w:highlight w:val="none"/>
          <w:u w:val="single"/>
          <w:lang w:val="zh-CN"/>
        </w:rPr>
        <w:t xml:space="preserve">                   </w:t>
      </w:r>
    </w:p>
    <w:p w14:paraId="135B467D">
      <w:pPr>
        <w:spacing w:line="460" w:lineRule="exact"/>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lang w:val="zh-CN"/>
        </w:rPr>
        <w:t>联系电话：</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传真：</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电子邮件：</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p>
    <w:p w14:paraId="5ED086AE">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联系地址：</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ab/>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p>
    <w:p w14:paraId="06D3A595">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邮政编码：</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 xml:space="preserve"> </w:t>
      </w:r>
    </w:p>
    <w:p w14:paraId="3CC75896">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日</w:t>
      </w: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sz w:val="22"/>
          <w:szCs w:val="22"/>
          <w:highlight w:val="none"/>
          <w:lang w:val="zh-CN"/>
        </w:rPr>
        <w:t>期</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lang w:val="zh-CN"/>
        </w:rPr>
        <w:t>年</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lang w:val="zh-CN"/>
        </w:rPr>
        <w:t>月</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日</w:t>
      </w:r>
    </w:p>
    <w:p w14:paraId="235A4932">
      <w:pPr>
        <w:spacing w:line="460" w:lineRule="exact"/>
        <w:rPr>
          <w:rFonts w:hint="eastAsia" w:ascii="新宋体" w:hAnsi="新宋体" w:eastAsia="新宋体" w:cs="新宋体"/>
          <w:b/>
          <w:bCs/>
          <w:color w:val="auto"/>
          <w:kern w:val="0"/>
          <w:sz w:val="22"/>
          <w:szCs w:val="22"/>
          <w:highlight w:val="none"/>
          <w:lang w:val="zh-CN"/>
        </w:rPr>
      </w:pPr>
      <w:r>
        <w:rPr>
          <w:rFonts w:hint="eastAsia" w:ascii="新宋体" w:hAnsi="新宋体" w:eastAsia="新宋体" w:cs="新宋体"/>
          <w:b/>
          <w:bCs/>
          <w:color w:val="auto"/>
          <w:kern w:val="0"/>
          <w:sz w:val="22"/>
          <w:szCs w:val="22"/>
          <w:highlight w:val="none"/>
          <w:lang w:val="zh-CN"/>
        </w:rPr>
        <w:t>注：未按照本投标响应函要求填报的将被视为非实质性响应，从而可能导致该投标文件被拒绝。</w:t>
      </w:r>
    </w:p>
    <w:p w14:paraId="31D27155">
      <w:pPr>
        <w:pStyle w:val="23"/>
        <w:ind w:left="862" w:hanging="442"/>
        <w:rPr>
          <w:rFonts w:hint="eastAsia" w:ascii="新宋体" w:hAnsi="新宋体" w:eastAsia="新宋体" w:cs="新宋体"/>
          <w:b/>
          <w:bCs/>
          <w:color w:val="auto"/>
          <w:kern w:val="0"/>
          <w:sz w:val="22"/>
          <w:szCs w:val="22"/>
          <w:highlight w:val="none"/>
          <w:lang w:val="zh-CN"/>
        </w:rPr>
      </w:pPr>
    </w:p>
    <w:p w14:paraId="2938947B">
      <w:pPr>
        <w:pStyle w:val="23"/>
        <w:ind w:left="862" w:hanging="442"/>
        <w:rPr>
          <w:rFonts w:hint="eastAsia" w:ascii="新宋体" w:hAnsi="新宋体" w:eastAsia="新宋体" w:cs="新宋体"/>
          <w:b/>
          <w:bCs/>
          <w:color w:val="auto"/>
          <w:kern w:val="0"/>
          <w:sz w:val="22"/>
          <w:szCs w:val="22"/>
          <w:highlight w:val="none"/>
          <w:lang w:val="zh-CN"/>
        </w:rPr>
      </w:pPr>
    </w:p>
    <w:p w14:paraId="41BC37B0">
      <w:pPr>
        <w:pStyle w:val="23"/>
        <w:ind w:left="862" w:hanging="442"/>
        <w:rPr>
          <w:rFonts w:hint="eastAsia" w:ascii="新宋体" w:hAnsi="新宋体" w:eastAsia="新宋体" w:cs="新宋体"/>
          <w:b/>
          <w:bCs/>
          <w:color w:val="auto"/>
          <w:kern w:val="0"/>
          <w:sz w:val="22"/>
          <w:szCs w:val="22"/>
          <w:highlight w:val="none"/>
          <w:lang w:val="zh-CN"/>
        </w:rPr>
      </w:pPr>
    </w:p>
    <w:p w14:paraId="3E11F2B1">
      <w:pPr>
        <w:pStyle w:val="23"/>
        <w:ind w:left="862" w:hanging="442"/>
        <w:rPr>
          <w:rFonts w:hint="eastAsia" w:ascii="新宋体" w:hAnsi="新宋体" w:eastAsia="新宋体" w:cs="新宋体"/>
          <w:b/>
          <w:bCs/>
          <w:color w:val="auto"/>
          <w:kern w:val="0"/>
          <w:sz w:val="22"/>
          <w:szCs w:val="22"/>
          <w:highlight w:val="none"/>
          <w:lang w:val="zh-CN"/>
        </w:rPr>
      </w:pPr>
    </w:p>
    <w:p w14:paraId="4B18A4AF">
      <w:pPr>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br w:type="page"/>
      </w:r>
    </w:p>
    <w:p w14:paraId="77C4C8FA">
      <w:pPr>
        <w:spacing w:line="380" w:lineRule="exact"/>
        <w:jc w:val="center"/>
        <w:outlineLvl w:val="3"/>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8"/>
          <w:szCs w:val="28"/>
          <w:highlight w:val="none"/>
          <w:lang w:val="en-US" w:eastAsia="zh-CN"/>
        </w:rPr>
        <w:t>2</w:t>
      </w:r>
      <w:r>
        <w:rPr>
          <w:rFonts w:hint="eastAsia" w:ascii="新宋体" w:hAnsi="新宋体" w:eastAsia="新宋体" w:cs="新宋体"/>
          <w:b/>
          <w:bCs/>
          <w:color w:val="auto"/>
          <w:sz w:val="28"/>
          <w:szCs w:val="28"/>
          <w:highlight w:val="none"/>
        </w:rPr>
        <w:t>、法定代表人授权书</w:t>
      </w:r>
    </w:p>
    <w:p w14:paraId="73561D2B">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温州市第七人民医院</w:t>
      </w:r>
      <w:r>
        <w:rPr>
          <w:rFonts w:hint="eastAsia" w:ascii="新宋体" w:hAnsi="新宋体" w:eastAsia="新宋体" w:cs="新宋体"/>
          <w:color w:val="auto"/>
          <w:sz w:val="22"/>
          <w:szCs w:val="22"/>
          <w:highlight w:val="none"/>
        </w:rPr>
        <w:t>：</w:t>
      </w:r>
    </w:p>
    <w:p w14:paraId="45C16B8C">
      <w:pPr>
        <w:spacing w:line="460" w:lineRule="exact"/>
        <w:rPr>
          <w:rFonts w:hint="eastAsia" w:ascii="新宋体" w:hAnsi="新宋体" w:eastAsia="新宋体" w:cs="新宋体"/>
          <w:color w:val="auto"/>
          <w:sz w:val="22"/>
          <w:szCs w:val="22"/>
          <w:highlight w:val="none"/>
          <w:u w:val="single"/>
        </w:rPr>
      </w:pPr>
    </w:p>
    <w:p w14:paraId="42607406">
      <w:pPr>
        <w:spacing w:line="460" w:lineRule="exact"/>
        <w:ind w:firstLine="550" w:firstLineChars="2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（投标人全称）法定代表人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（全权代表姓名）为全权代表，参加贵处组织的（项目名称：</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）的招标活动，全权代表我方处理招标活动中的一切事宜。</w:t>
      </w:r>
    </w:p>
    <w:p w14:paraId="3B21C7E4">
      <w:pPr>
        <w:spacing w:line="460" w:lineRule="exact"/>
        <w:ind w:firstLine="2955"/>
        <w:rPr>
          <w:rFonts w:hint="eastAsia" w:ascii="新宋体" w:hAnsi="新宋体" w:eastAsia="新宋体" w:cs="新宋体"/>
          <w:color w:val="auto"/>
          <w:sz w:val="22"/>
          <w:szCs w:val="22"/>
          <w:highlight w:val="none"/>
        </w:rPr>
      </w:pPr>
    </w:p>
    <w:p w14:paraId="7945B38C">
      <w:pPr>
        <w:spacing w:line="460" w:lineRule="exact"/>
        <w:ind w:firstLine="295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p w14:paraId="4F482FAA">
      <w:pPr>
        <w:keepNext w:val="0"/>
        <w:keepLines w:val="0"/>
        <w:pageBreakBefore w:val="0"/>
        <w:widowControl w:val="0"/>
        <w:kinsoku/>
        <w:wordWrap/>
        <w:overflowPunct/>
        <w:topLinePunct w:val="0"/>
        <w:autoSpaceDE/>
        <w:autoSpaceDN/>
        <w:bidi w:val="0"/>
        <w:adjustRightInd/>
        <w:snapToGrid/>
        <w:spacing w:line="460" w:lineRule="exact"/>
        <w:ind w:firstLine="3740" w:firstLineChars="17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val="0"/>
          <w:bCs w:val="0"/>
          <w:color w:val="auto"/>
          <w:sz w:val="22"/>
          <w:szCs w:val="22"/>
          <w:highlight w:val="none"/>
        </w:rPr>
        <w:t>法定代表人</w:t>
      </w:r>
      <w:r>
        <w:rPr>
          <w:rFonts w:hint="eastAsia" w:ascii="新宋体" w:hAnsi="新宋体" w:eastAsia="新宋体" w:cs="新宋体"/>
          <w:b/>
          <w:bCs/>
          <w:color w:val="auto"/>
          <w:sz w:val="22"/>
          <w:szCs w:val="22"/>
          <w:highlight w:val="none"/>
        </w:rPr>
        <w:t>（法定代表人签字或盖法定代表人名章）：</w:t>
      </w:r>
    </w:p>
    <w:p w14:paraId="70FE61B6">
      <w:pPr>
        <w:keepNext w:val="0"/>
        <w:keepLines w:val="0"/>
        <w:pageBreakBefore w:val="0"/>
        <w:widowControl w:val="0"/>
        <w:kinsoku/>
        <w:wordWrap/>
        <w:overflowPunct/>
        <w:topLinePunct w:val="0"/>
        <w:autoSpaceDE/>
        <w:autoSpaceDN/>
        <w:bidi w:val="0"/>
        <w:adjustRightInd/>
        <w:snapToGrid/>
        <w:spacing w:line="460" w:lineRule="exact"/>
        <w:ind w:firstLine="3740" w:firstLineChars="17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投标人全称（公章）：</w:t>
      </w:r>
    </w:p>
    <w:p w14:paraId="5B76CBAE">
      <w:pPr>
        <w:keepNext w:val="0"/>
        <w:keepLines w:val="0"/>
        <w:pageBreakBefore w:val="0"/>
        <w:widowControl w:val="0"/>
        <w:kinsoku/>
        <w:wordWrap/>
        <w:overflowPunct/>
        <w:topLinePunct w:val="0"/>
        <w:autoSpaceDE/>
        <w:autoSpaceDN/>
        <w:bidi w:val="0"/>
        <w:adjustRightInd/>
        <w:snapToGrid/>
        <w:spacing w:line="460" w:lineRule="exact"/>
        <w:ind w:firstLine="3740" w:firstLineChars="17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tbl>
      <w:tblPr>
        <w:tblStyle w:val="54"/>
        <w:tblpPr w:leftFromText="180" w:rightFromText="180" w:vertAnchor="text" w:horzAnchor="page" w:tblpX="1230" w:tblpY="263"/>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29"/>
      </w:tblGrid>
      <w:tr w14:paraId="0668D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jc w:val="center"/>
        </w:trPr>
        <w:tc>
          <w:tcPr>
            <w:tcW w:w="9629" w:type="dxa"/>
            <w:vAlign w:val="center"/>
          </w:tcPr>
          <w:p w14:paraId="4AFBF12D">
            <w:pPr>
              <w:pStyle w:val="23"/>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eastAsia" w:ascii="新宋体" w:hAnsi="新宋体" w:eastAsia="新宋体" w:cs="新宋体"/>
                <w:color w:val="auto"/>
                <w:sz w:val="22"/>
                <w:szCs w:val="22"/>
                <w:highlight w:val="none"/>
                <w:vertAlign w:val="baseline"/>
                <w:lang w:val="en-US" w:eastAsia="zh-CN"/>
              </w:rPr>
            </w:pPr>
            <w:r>
              <w:rPr>
                <w:rFonts w:hint="eastAsia" w:ascii="新宋体" w:hAnsi="新宋体" w:eastAsia="新宋体" w:cs="新宋体"/>
                <w:b/>
                <w:bCs/>
                <w:color w:val="auto"/>
                <w:sz w:val="28"/>
                <w:szCs w:val="28"/>
                <w:highlight w:val="none"/>
                <w:u w:val="single"/>
                <w:vertAlign w:val="baseline"/>
                <w:lang w:val="en-US" w:eastAsia="zh-CN"/>
              </w:rPr>
              <w:t>注意事项：上处由</w:t>
            </w:r>
            <w:r>
              <w:rPr>
                <w:rFonts w:hint="eastAsia" w:ascii="新宋体" w:hAnsi="新宋体" w:eastAsia="新宋体" w:cs="新宋体"/>
                <w:b/>
                <w:bCs/>
                <w:color w:val="auto"/>
                <w:sz w:val="40"/>
                <w:szCs w:val="40"/>
                <w:highlight w:val="none"/>
                <w:u w:val="single"/>
                <w:vertAlign w:val="baseline"/>
                <w:lang w:val="en-US" w:eastAsia="zh-CN"/>
              </w:rPr>
              <w:t>法定代表人</w:t>
            </w:r>
            <w:r>
              <w:rPr>
                <w:rFonts w:hint="eastAsia" w:ascii="新宋体" w:hAnsi="新宋体" w:eastAsia="新宋体" w:cs="新宋体"/>
                <w:b/>
                <w:bCs/>
                <w:color w:val="auto"/>
                <w:sz w:val="28"/>
                <w:szCs w:val="28"/>
                <w:highlight w:val="none"/>
                <w:u w:val="single"/>
                <w:vertAlign w:val="baseline"/>
                <w:lang w:val="en-US" w:eastAsia="zh-CN"/>
              </w:rPr>
              <w:t>签字或盖</w:t>
            </w:r>
            <w:r>
              <w:rPr>
                <w:rFonts w:hint="eastAsia" w:ascii="新宋体" w:hAnsi="新宋体" w:eastAsia="新宋体" w:cs="新宋体"/>
                <w:b/>
                <w:bCs/>
                <w:color w:val="auto"/>
                <w:sz w:val="40"/>
                <w:szCs w:val="40"/>
                <w:highlight w:val="none"/>
                <w:u w:val="single"/>
                <w:vertAlign w:val="baseline"/>
                <w:lang w:val="en-US" w:eastAsia="zh-CN"/>
              </w:rPr>
              <w:t>法定代表人</w:t>
            </w:r>
            <w:r>
              <w:rPr>
                <w:rFonts w:hint="eastAsia" w:ascii="新宋体" w:hAnsi="新宋体" w:eastAsia="新宋体" w:cs="新宋体"/>
                <w:b/>
                <w:bCs/>
                <w:color w:val="auto"/>
                <w:sz w:val="28"/>
                <w:szCs w:val="28"/>
                <w:highlight w:val="none"/>
                <w:u w:val="single"/>
                <w:vertAlign w:val="baseline"/>
                <w:lang w:val="en-US" w:eastAsia="zh-CN"/>
              </w:rPr>
              <w:t>名章</w:t>
            </w:r>
          </w:p>
        </w:tc>
      </w:tr>
    </w:tbl>
    <w:p w14:paraId="3A4DED69">
      <w:pPr>
        <w:spacing w:line="3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8"/>
          <w:highlight w:val="none"/>
        </w:rPr>
        <mc:AlternateContent>
          <mc:Choice Requires="wps">
            <w:drawing>
              <wp:anchor distT="0" distB="0" distL="114300" distR="114300" simplePos="0" relativeHeight="251662336" behindDoc="0" locked="0" layoutInCell="1" allowOverlap="1">
                <wp:simplePos x="0" y="0"/>
                <wp:positionH relativeFrom="column">
                  <wp:posOffset>5811520</wp:posOffset>
                </wp:positionH>
                <wp:positionV relativeFrom="paragraph">
                  <wp:posOffset>132080</wp:posOffset>
                </wp:positionV>
                <wp:extent cx="156210" cy="468630"/>
                <wp:effectExtent l="12700" t="12700" r="21590" b="13970"/>
                <wp:wrapNone/>
                <wp:docPr id="8" name="上箭头 8"/>
                <wp:cNvGraphicFramePr/>
                <a:graphic xmlns:a="http://schemas.openxmlformats.org/drawingml/2006/main">
                  <a:graphicData uri="http://schemas.microsoft.com/office/word/2010/wordprocessingShape">
                    <wps:wsp>
                      <wps:cNvSpPr/>
                      <wps:spPr>
                        <a:xfrm>
                          <a:off x="6586220" y="4848860"/>
                          <a:ext cx="156210" cy="468630"/>
                        </a:xfrm>
                        <a:prstGeom prst="up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457.6pt;margin-top:10.4pt;height:36.9pt;width:12.3pt;z-index:251662336;v-text-anchor:middle;mso-width-relative:page;mso-height-relative:page;" fillcolor="#000000 [3200]" filled="t" stroked="t" coordsize="21600,21600" o:gfxdata="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0ZJrwNgAAAAJAQAADwAAAAAAAAABACAA&#10;AAAiAAAAZHJzL2Rvd25yZXYueG1sUEsBAhQAFAAAAAgAh07iQHeI8jB/AgAADwUAAA4AAAAAAAAA&#10;AQAgAAAAJwEAAGRycy9lMm9Eb2MueG1sUEsFBgAAAAAGAAYAWQEAABgGAAAAAA==&#10;" adj="3600,5400">
                <v:fill on="t" focussize="0,0"/>
                <v:stroke weight="2pt" color="#000000 [3200]" joinstyle="round"/>
                <v:imagedata o:title=""/>
                <o:lock v:ext="edit" aspectratio="f"/>
              </v:shape>
            </w:pict>
          </mc:Fallback>
        </mc:AlternateContent>
      </w:r>
    </w:p>
    <w:p w14:paraId="73F2DDFB">
      <w:pPr>
        <w:bidi w:val="0"/>
        <w:rPr>
          <w:rFonts w:hint="eastAsia" w:ascii="新宋体" w:hAnsi="新宋体" w:eastAsia="新宋体" w:cs="新宋体"/>
          <w:color w:val="auto"/>
          <w:highlight w:val="none"/>
        </w:rPr>
      </w:pPr>
    </w:p>
    <w:p w14:paraId="624F32C1">
      <w:pPr>
        <w:spacing w:line="460" w:lineRule="exact"/>
        <w:ind w:firstLine="541"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附：</w:t>
      </w:r>
    </w:p>
    <w:p w14:paraId="19D6D06F">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 xml:space="preserve">授权代表姓名：                               </w:t>
      </w:r>
    </w:p>
    <w:p w14:paraId="3731F166">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职务：</w:t>
      </w:r>
    </w:p>
    <w:p w14:paraId="5EE6C777">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详细通讯地址：</w:t>
      </w:r>
    </w:p>
    <w:p w14:paraId="4DA16ED1">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电话：</w:t>
      </w:r>
    </w:p>
    <w:p w14:paraId="7F31497E">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传真：</w:t>
      </w:r>
    </w:p>
    <w:p w14:paraId="7B1E48ED">
      <w:pPr>
        <w:spacing w:line="460" w:lineRule="exact"/>
        <w:ind w:firstLine="539" w:firstLineChars="24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邮政编码：</w:t>
      </w:r>
    </w:p>
    <w:p w14:paraId="67A456EE">
      <w:pPr>
        <w:pStyle w:val="9"/>
        <w:ind w:firstLine="440"/>
        <w:rPr>
          <w:rFonts w:hint="eastAsia" w:ascii="新宋体" w:hAnsi="新宋体" w:eastAsia="新宋体" w:cs="新宋体"/>
          <w:color w:val="auto"/>
          <w:sz w:val="22"/>
          <w:szCs w:val="22"/>
          <w:highlight w:val="none"/>
        </w:rPr>
      </w:pPr>
    </w:p>
    <w:p w14:paraId="7FF916C7">
      <w:pPr>
        <w:rPr>
          <w:rFonts w:hint="eastAsia" w:ascii="新宋体" w:hAnsi="新宋体" w:eastAsia="新宋体" w:cs="新宋体"/>
          <w:color w:val="auto"/>
          <w:sz w:val="22"/>
          <w:szCs w:val="22"/>
          <w:highlight w:val="none"/>
        </w:rPr>
      </w:pPr>
    </w:p>
    <w:p w14:paraId="7CBF1575">
      <w:pPr>
        <w:pStyle w:val="9"/>
        <w:ind w:firstLine="440"/>
        <w:rPr>
          <w:rFonts w:hint="eastAsia" w:ascii="新宋体" w:hAnsi="新宋体" w:eastAsia="新宋体" w:cs="新宋体"/>
          <w:color w:val="auto"/>
          <w:sz w:val="22"/>
          <w:szCs w:val="22"/>
          <w:highlight w:val="none"/>
        </w:rPr>
      </w:pPr>
    </w:p>
    <w:p w14:paraId="3BFE4488">
      <w:pPr>
        <w:rPr>
          <w:rFonts w:hint="eastAsia" w:ascii="新宋体" w:hAnsi="新宋体" w:eastAsia="新宋体" w:cs="新宋体"/>
          <w:color w:val="auto"/>
          <w:sz w:val="22"/>
          <w:szCs w:val="22"/>
          <w:highlight w:val="none"/>
        </w:rPr>
      </w:pPr>
    </w:p>
    <w:p w14:paraId="6C7C6378">
      <w:pPr>
        <w:pStyle w:val="9"/>
        <w:ind w:firstLine="440"/>
        <w:rPr>
          <w:rFonts w:hint="eastAsia" w:ascii="新宋体" w:hAnsi="新宋体" w:eastAsia="新宋体" w:cs="新宋体"/>
          <w:color w:val="auto"/>
          <w:sz w:val="22"/>
          <w:szCs w:val="22"/>
          <w:highlight w:val="none"/>
        </w:rPr>
      </w:pPr>
    </w:p>
    <w:p w14:paraId="72F75FAB">
      <w:pPr>
        <w:rPr>
          <w:rFonts w:hint="eastAsia" w:ascii="新宋体" w:hAnsi="新宋体" w:eastAsia="新宋体" w:cs="新宋体"/>
          <w:color w:val="auto"/>
          <w:sz w:val="22"/>
          <w:szCs w:val="22"/>
          <w:highlight w:val="none"/>
        </w:rPr>
      </w:pPr>
    </w:p>
    <w:p w14:paraId="11F506A8">
      <w:pPr>
        <w:pStyle w:val="9"/>
        <w:ind w:firstLine="440"/>
        <w:rPr>
          <w:rFonts w:hint="eastAsia" w:ascii="新宋体" w:hAnsi="新宋体" w:eastAsia="新宋体" w:cs="新宋体"/>
          <w:color w:val="auto"/>
          <w:sz w:val="22"/>
          <w:szCs w:val="22"/>
          <w:highlight w:val="none"/>
        </w:rPr>
      </w:pPr>
    </w:p>
    <w:p w14:paraId="4FBA7811">
      <w:pPr>
        <w:rPr>
          <w:rFonts w:hint="eastAsia" w:ascii="新宋体" w:hAnsi="新宋体" w:eastAsia="新宋体" w:cs="新宋体"/>
          <w:color w:val="auto"/>
          <w:highlight w:val="none"/>
        </w:rPr>
      </w:pPr>
    </w:p>
    <w:p w14:paraId="2999EAC6">
      <w:pPr>
        <w:pStyle w:val="9"/>
        <w:ind w:firstLine="440"/>
        <w:rPr>
          <w:rFonts w:hint="eastAsia" w:ascii="新宋体" w:hAnsi="新宋体" w:eastAsia="新宋体" w:cs="新宋体"/>
          <w:color w:val="auto"/>
          <w:sz w:val="22"/>
          <w:szCs w:val="22"/>
          <w:highlight w:val="none"/>
        </w:rPr>
      </w:pPr>
    </w:p>
    <w:p w14:paraId="12B87A47">
      <w:pPr>
        <w:rPr>
          <w:rFonts w:hint="eastAsia" w:ascii="新宋体" w:hAnsi="新宋体" w:eastAsia="新宋体" w:cs="新宋体"/>
          <w:color w:val="auto"/>
          <w:sz w:val="22"/>
          <w:szCs w:val="22"/>
          <w:highlight w:val="none"/>
        </w:rPr>
      </w:pPr>
    </w:p>
    <w:p w14:paraId="41AB69C6">
      <w:pPr>
        <w:pStyle w:val="23"/>
        <w:ind w:left="860" w:hanging="440"/>
        <w:rPr>
          <w:rFonts w:hint="eastAsia" w:ascii="新宋体" w:hAnsi="新宋体" w:eastAsia="新宋体" w:cs="新宋体"/>
          <w:color w:val="auto"/>
          <w:sz w:val="22"/>
          <w:szCs w:val="22"/>
          <w:highlight w:val="none"/>
        </w:rPr>
      </w:pPr>
    </w:p>
    <w:p w14:paraId="0D553EB4">
      <w:pPr>
        <w:pStyle w:val="23"/>
        <w:ind w:left="860" w:hanging="440"/>
        <w:rPr>
          <w:rFonts w:hint="eastAsia" w:ascii="新宋体" w:hAnsi="新宋体" w:eastAsia="新宋体" w:cs="新宋体"/>
          <w:color w:val="auto"/>
          <w:sz w:val="22"/>
          <w:szCs w:val="22"/>
          <w:highlight w:val="none"/>
        </w:rPr>
      </w:pPr>
    </w:p>
    <w:p w14:paraId="32ED5C0A">
      <w:pPr>
        <w:pStyle w:val="23"/>
        <w:ind w:left="860" w:hanging="440"/>
        <w:rPr>
          <w:rFonts w:hint="eastAsia" w:ascii="新宋体" w:hAnsi="新宋体" w:eastAsia="新宋体" w:cs="新宋体"/>
          <w:color w:val="auto"/>
          <w:sz w:val="22"/>
          <w:szCs w:val="22"/>
          <w:highlight w:val="none"/>
        </w:rPr>
      </w:pPr>
    </w:p>
    <w:p w14:paraId="4B256D89">
      <w:pPr>
        <w:rPr>
          <w:rFonts w:hint="eastAsia" w:ascii="新宋体" w:hAnsi="新宋体" w:eastAsia="新宋体" w:cs="新宋体"/>
          <w:color w:val="auto"/>
          <w:highlight w:val="none"/>
        </w:rPr>
      </w:pPr>
    </w:p>
    <w:p w14:paraId="6CFCDE38">
      <w:pPr>
        <w:spacing w:line="460" w:lineRule="exact"/>
        <w:jc w:val="center"/>
        <w:rPr>
          <w:rFonts w:hint="eastAsia"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320675</wp:posOffset>
                </wp:positionV>
                <wp:extent cx="6254115" cy="3004185"/>
                <wp:effectExtent l="5080" t="4445" r="8255" b="2032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254115" cy="3004185"/>
                        </a:xfrm>
                        <a:prstGeom prst="rect">
                          <a:avLst/>
                        </a:prstGeom>
                        <a:solidFill>
                          <a:srgbClr val="FFFFFF"/>
                        </a:solidFill>
                        <a:ln w="9525" cmpd="sng">
                          <a:solidFill>
                            <a:srgbClr val="000000"/>
                          </a:solidFill>
                          <a:miter lim="800000"/>
                        </a:ln>
                        <a:effectLst/>
                      </wps:spPr>
                      <wps:txbx>
                        <w:txbxContent>
                          <w:p w14:paraId="13DEA969">
                            <w:r>
                              <w:rPr>
                                <w:rFonts w:hint="eastAsia" w:ascii="新宋体" w:hAnsi="新宋体" w:eastAsia="新宋体"/>
                                <w:sz w:val="22"/>
                                <w:szCs w:val="22"/>
                              </w:rPr>
                              <w:t xml:space="preserve">  法定代表人身份证（正反面）：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8.95pt;margin-top:25.25pt;height:236.55pt;width:492.45pt;z-index:251659264;mso-width-relative:page;mso-height-relative:page;" fillcolor="#FFFFFF" filled="t" stroked="t" coordsize="21600,21600" o:gfxdata="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X3CNo2AAAAAoBAAAPAAAA&#10;AAAAAAEAIAAAACIAAABkcnMvZG93bnJldi54bWxQSwECFAAUAAAACACHTuJAdbpxhU4CAAChBAAA&#10;DgAAAAAAAAABACAAAAAnAQAAZHJzL2Uyb0RvYy54bWxQSwUGAAAAAAYABgBZAQAA5wUAAAAA&#10;">
                <v:fill on="t" focussize="0,0"/>
                <v:stroke color="#000000" miterlimit="8" joinstyle="miter"/>
                <v:imagedata o:title=""/>
                <o:lock v:ext="edit" aspectratio="f"/>
                <v:textbox>
                  <w:txbxContent>
                    <w:p w14:paraId="13DEA969">
                      <w:r>
                        <w:rPr>
                          <w:rFonts w:hint="eastAsia" w:ascii="新宋体" w:hAnsi="新宋体" w:eastAsia="新宋体"/>
                          <w:sz w:val="22"/>
                          <w:szCs w:val="22"/>
                        </w:rPr>
                        <w:t xml:space="preserve">  法定代表人身份证（正反面）：</w:t>
                      </w:r>
                    </w:p>
                  </w:txbxContent>
                </v:textbox>
              </v:shape>
            </w:pict>
          </mc:Fallback>
        </mc:AlternateContent>
      </w:r>
    </w:p>
    <w:p w14:paraId="0F4088FB">
      <w:pPr>
        <w:spacing w:line="460" w:lineRule="exact"/>
        <w:jc w:val="center"/>
        <w:rPr>
          <w:rFonts w:hint="eastAsia" w:ascii="新宋体" w:hAnsi="新宋体" w:eastAsia="新宋体" w:cs="新宋体"/>
          <w:b/>
          <w:bCs/>
          <w:color w:val="auto"/>
          <w:sz w:val="28"/>
          <w:szCs w:val="28"/>
          <w:highlight w:val="none"/>
        </w:rPr>
      </w:pPr>
    </w:p>
    <w:p w14:paraId="5B460892">
      <w:pPr>
        <w:spacing w:line="460" w:lineRule="exact"/>
        <w:jc w:val="center"/>
        <w:rPr>
          <w:rFonts w:hint="eastAsia" w:ascii="新宋体" w:hAnsi="新宋体" w:eastAsia="新宋体" w:cs="新宋体"/>
          <w:b/>
          <w:bCs/>
          <w:color w:val="auto"/>
          <w:sz w:val="28"/>
          <w:szCs w:val="28"/>
          <w:highlight w:val="none"/>
        </w:rPr>
      </w:pPr>
    </w:p>
    <w:p w14:paraId="046BE86E">
      <w:pPr>
        <w:spacing w:line="460" w:lineRule="exact"/>
        <w:jc w:val="center"/>
        <w:rPr>
          <w:rFonts w:hint="eastAsia" w:ascii="新宋体" w:hAnsi="新宋体" w:eastAsia="新宋体" w:cs="新宋体"/>
          <w:b/>
          <w:bCs/>
          <w:color w:val="auto"/>
          <w:sz w:val="28"/>
          <w:szCs w:val="28"/>
          <w:highlight w:val="none"/>
        </w:rPr>
      </w:pPr>
    </w:p>
    <w:p w14:paraId="7C546B26">
      <w:pPr>
        <w:spacing w:line="460" w:lineRule="exact"/>
        <w:jc w:val="center"/>
        <w:rPr>
          <w:rFonts w:hint="eastAsia" w:ascii="新宋体" w:hAnsi="新宋体" w:eastAsia="新宋体" w:cs="新宋体"/>
          <w:b/>
          <w:bCs/>
          <w:color w:val="auto"/>
          <w:sz w:val="28"/>
          <w:szCs w:val="28"/>
          <w:highlight w:val="none"/>
        </w:rPr>
      </w:pPr>
    </w:p>
    <w:p w14:paraId="7F897101">
      <w:pPr>
        <w:spacing w:line="460" w:lineRule="exact"/>
        <w:jc w:val="center"/>
        <w:rPr>
          <w:rFonts w:hint="eastAsia" w:ascii="新宋体" w:hAnsi="新宋体" w:eastAsia="新宋体" w:cs="新宋体"/>
          <w:b/>
          <w:bCs/>
          <w:color w:val="auto"/>
          <w:sz w:val="28"/>
          <w:szCs w:val="28"/>
          <w:highlight w:val="none"/>
        </w:rPr>
      </w:pPr>
    </w:p>
    <w:p w14:paraId="6DEE48D7">
      <w:pPr>
        <w:spacing w:line="460" w:lineRule="exact"/>
        <w:jc w:val="center"/>
        <w:rPr>
          <w:rFonts w:hint="eastAsia" w:ascii="新宋体" w:hAnsi="新宋体" w:eastAsia="新宋体" w:cs="新宋体"/>
          <w:b/>
          <w:bCs/>
          <w:color w:val="auto"/>
          <w:sz w:val="28"/>
          <w:szCs w:val="28"/>
          <w:highlight w:val="none"/>
        </w:rPr>
      </w:pPr>
    </w:p>
    <w:p w14:paraId="75AB5A09">
      <w:pPr>
        <w:spacing w:line="460" w:lineRule="exact"/>
        <w:jc w:val="center"/>
        <w:rPr>
          <w:rFonts w:hint="eastAsia" w:ascii="新宋体" w:hAnsi="新宋体" w:eastAsia="新宋体" w:cs="新宋体"/>
          <w:b/>
          <w:bCs/>
          <w:color w:val="auto"/>
          <w:sz w:val="28"/>
          <w:szCs w:val="28"/>
          <w:highlight w:val="none"/>
        </w:rPr>
      </w:pPr>
    </w:p>
    <w:p w14:paraId="3D000B24">
      <w:pPr>
        <w:spacing w:line="460" w:lineRule="exact"/>
        <w:jc w:val="center"/>
        <w:rPr>
          <w:rFonts w:hint="eastAsia" w:ascii="新宋体" w:hAnsi="新宋体" w:eastAsia="新宋体" w:cs="新宋体"/>
          <w:b/>
          <w:bCs/>
          <w:color w:val="auto"/>
          <w:sz w:val="28"/>
          <w:szCs w:val="28"/>
          <w:highlight w:val="none"/>
        </w:rPr>
      </w:pPr>
    </w:p>
    <w:p w14:paraId="4582D69B">
      <w:pPr>
        <w:spacing w:line="460" w:lineRule="exact"/>
        <w:jc w:val="center"/>
        <w:rPr>
          <w:rFonts w:hint="eastAsia" w:ascii="新宋体" w:hAnsi="新宋体" w:eastAsia="新宋体" w:cs="新宋体"/>
          <w:b/>
          <w:bCs/>
          <w:color w:val="auto"/>
          <w:sz w:val="28"/>
          <w:szCs w:val="28"/>
          <w:highlight w:val="none"/>
        </w:rPr>
      </w:pPr>
    </w:p>
    <w:p w14:paraId="70D8820F">
      <w:pPr>
        <w:spacing w:line="460" w:lineRule="exact"/>
        <w:jc w:val="center"/>
        <w:rPr>
          <w:rFonts w:hint="eastAsia" w:ascii="新宋体" w:hAnsi="新宋体" w:eastAsia="新宋体" w:cs="新宋体"/>
          <w:b/>
          <w:bCs/>
          <w:color w:val="auto"/>
          <w:sz w:val="28"/>
          <w:szCs w:val="28"/>
          <w:highlight w:val="none"/>
        </w:rPr>
      </w:pPr>
    </w:p>
    <w:p w14:paraId="7C5A2C90">
      <w:pPr>
        <w:spacing w:line="460" w:lineRule="exact"/>
        <w:jc w:val="center"/>
        <w:rPr>
          <w:rFonts w:hint="eastAsia" w:ascii="新宋体" w:hAnsi="新宋体" w:eastAsia="新宋体" w:cs="新宋体"/>
          <w:b/>
          <w:bCs/>
          <w:color w:val="auto"/>
          <w:sz w:val="28"/>
          <w:szCs w:val="28"/>
          <w:highlight w:val="none"/>
        </w:rPr>
      </w:pPr>
    </w:p>
    <w:p w14:paraId="55278A9F">
      <w:pPr>
        <w:spacing w:line="460" w:lineRule="exact"/>
        <w:jc w:val="center"/>
        <w:rPr>
          <w:rFonts w:hint="eastAsia"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mc:AlternateContent>
          <mc:Choice Requires="wps">
            <w:drawing>
              <wp:anchor distT="0" distB="0" distL="114300" distR="114300" simplePos="0" relativeHeight="251660288" behindDoc="0" locked="0" layoutInCell="1" allowOverlap="1">
                <wp:simplePos x="0" y="0"/>
                <wp:positionH relativeFrom="column">
                  <wp:posOffset>145415</wp:posOffset>
                </wp:positionH>
                <wp:positionV relativeFrom="paragraph">
                  <wp:posOffset>238125</wp:posOffset>
                </wp:positionV>
                <wp:extent cx="6246495" cy="3913505"/>
                <wp:effectExtent l="4445" t="4445" r="16510" b="635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6246495" cy="3913505"/>
                        </a:xfrm>
                        <a:prstGeom prst="rect">
                          <a:avLst/>
                        </a:prstGeom>
                        <a:solidFill>
                          <a:srgbClr val="FFFFFF"/>
                        </a:solidFill>
                        <a:ln w="9525" cmpd="sng">
                          <a:solidFill>
                            <a:srgbClr val="000000"/>
                          </a:solidFill>
                          <a:miter lim="800000"/>
                        </a:ln>
                        <a:effectLst/>
                      </wps:spPr>
                      <wps:txbx>
                        <w:txbxContent>
                          <w:p w14:paraId="70B5CA94">
                            <w:r>
                              <w:rPr>
                                <w:rFonts w:hint="eastAsia" w:ascii="新宋体" w:hAnsi="新宋体" w:eastAsia="新宋体"/>
                                <w:sz w:val="22"/>
                                <w:szCs w:val="22"/>
                              </w:rPr>
                              <w:t xml:space="preserve">  授权代表身份证（正反面）：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1.45pt;margin-top:18.75pt;height:308.15pt;width:491.85pt;z-index:251660288;mso-width-relative:page;mso-height-relative:page;" fillcolor="#FFFFFF" filled="t" stroked="t" coordsize="21600,21600" o:gfxdata="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LQlNcXZAAAACgEAAA8A&#10;AAAAAAAAAQAgAAAAIgAAAGRycy9kb3ducmV2LnhtbFBLAQIUABQAAAAIAIdO4kC7fB4aTwIAAKEE&#10;AAAOAAAAAAAAAAEAIAAAACgBAABkcnMvZTJvRG9jLnhtbFBLBQYAAAAABgAGAFkBAADpBQAAAAA=&#10;">
                <v:fill on="t" focussize="0,0"/>
                <v:stroke color="#000000" miterlimit="8" joinstyle="miter"/>
                <v:imagedata o:title=""/>
                <o:lock v:ext="edit" aspectratio="f"/>
                <v:textbox>
                  <w:txbxContent>
                    <w:p w14:paraId="70B5CA94">
                      <w:r>
                        <w:rPr>
                          <w:rFonts w:hint="eastAsia" w:ascii="新宋体" w:hAnsi="新宋体" w:eastAsia="新宋体"/>
                          <w:sz w:val="22"/>
                          <w:szCs w:val="22"/>
                        </w:rPr>
                        <w:t xml:space="preserve">  授权代表身份证（正反面）：</w:t>
                      </w:r>
                    </w:p>
                  </w:txbxContent>
                </v:textbox>
              </v:shape>
            </w:pict>
          </mc:Fallback>
        </mc:AlternateContent>
      </w:r>
    </w:p>
    <w:p w14:paraId="323888C7">
      <w:pPr>
        <w:spacing w:line="460" w:lineRule="exact"/>
        <w:jc w:val="center"/>
        <w:rPr>
          <w:rFonts w:hint="eastAsia" w:ascii="新宋体" w:hAnsi="新宋体" w:eastAsia="新宋体" w:cs="新宋体"/>
          <w:b/>
          <w:bCs/>
          <w:color w:val="auto"/>
          <w:sz w:val="28"/>
          <w:szCs w:val="28"/>
          <w:highlight w:val="none"/>
        </w:rPr>
      </w:pPr>
    </w:p>
    <w:p w14:paraId="377320A5">
      <w:pPr>
        <w:spacing w:line="460" w:lineRule="exact"/>
        <w:jc w:val="center"/>
        <w:rPr>
          <w:rFonts w:hint="eastAsia" w:ascii="新宋体" w:hAnsi="新宋体" w:eastAsia="新宋体" w:cs="新宋体"/>
          <w:b/>
          <w:bCs/>
          <w:color w:val="auto"/>
          <w:sz w:val="28"/>
          <w:szCs w:val="28"/>
          <w:highlight w:val="none"/>
        </w:rPr>
      </w:pPr>
    </w:p>
    <w:p w14:paraId="0D92C4E5">
      <w:pPr>
        <w:spacing w:line="460" w:lineRule="exact"/>
        <w:jc w:val="center"/>
        <w:rPr>
          <w:rFonts w:hint="eastAsia" w:ascii="新宋体" w:hAnsi="新宋体" w:eastAsia="新宋体" w:cs="新宋体"/>
          <w:b/>
          <w:bCs/>
          <w:color w:val="auto"/>
          <w:sz w:val="28"/>
          <w:szCs w:val="28"/>
          <w:highlight w:val="none"/>
        </w:rPr>
      </w:pPr>
    </w:p>
    <w:p w14:paraId="6AE59FC3">
      <w:pPr>
        <w:spacing w:line="460" w:lineRule="exact"/>
        <w:jc w:val="center"/>
        <w:rPr>
          <w:rFonts w:hint="eastAsia" w:ascii="新宋体" w:hAnsi="新宋体" w:eastAsia="新宋体" w:cs="新宋体"/>
          <w:b/>
          <w:bCs/>
          <w:color w:val="auto"/>
          <w:sz w:val="28"/>
          <w:szCs w:val="28"/>
          <w:highlight w:val="none"/>
        </w:rPr>
      </w:pPr>
    </w:p>
    <w:p w14:paraId="58E50857">
      <w:pPr>
        <w:spacing w:line="460" w:lineRule="exact"/>
        <w:jc w:val="center"/>
        <w:rPr>
          <w:rFonts w:hint="eastAsia" w:ascii="新宋体" w:hAnsi="新宋体" w:eastAsia="新宋体" w:cs="新宋体"/>
          <w:b/>
          <w:bCs/>
          <w:color w:val="auto"/>
          <w:sz w:val="28"/>
          <w:szCs w:val="28"/>
          <w:highlight w:val="none"/>
        </w:rPr>
      </w:pPr>
    </w:p>
    <w:p w14:paraId="4C6A8C86">
      <w:pPr>
        <w:spacing w:line="460" w:lineRule="exact"/>
        <w:jc w:val="center"/>
        <w:rPr>
          <w:rFonts w:hint="eastAsia" w:ascii="新宋体" w:hAnsi="新宋体" w:eastAsia="新宋体" w:cs="新宋体"/>
          <w:b/>
          <w:bCs/>
          <w:color w:val="auto"/>
          <w:sz w:val="28"/>
          <w:szCs w:val="28"/>
          <w:highlight w:val="none"/>
        </w:rPr>
      </w:pPr>
    </w:p>
    <w:p w14:paraId="52072C82">
      <w:pPr>
        <w:spacing w:line="460" w:lineRule="exact"/>
        <w:jc w:val="center"/>
        <w:rPr>
          <w:rFonts w:hint="eastAsia" w:ascii="新宋体" w:hAnsi="新宋体" w:eastAsia="新宋体" w:cs="新宋体"/>
          <w:b/>
          <w:bCs/>
          <w:color w:val="auto"/>
          <w:sz w:val="28"/>
          <w:szCs w:val="28"/>
          <w:highlight w:val="none"/>
        </w:rPr>
      </w:pPr>
    </w:p>
    <w:p w14:paraId="3D2F29D3">
      <w:pPr>
        <w:spacing w:line="460" w:lineRule="exact"/>
        <w:jc w:val="center"/>
        <w:rPr>
          <w:rFonts w:hint="eastAsia" w:ascii="新宋体" w:hAnsi="新宋体" w:eastAsia="新宋体" w:cs="新宋体"/>
          <w:b/>
          <w:bCs/>
          <w:color w:val="auto"/>
          <w:sz w:val="28"/>
          <w:szCs w:val="28"/>
          <w:highlight w:val="none"/>
        </w:rPr>
      </w:pPr>
    </w:p>
    <w:p w14:paraId="037A74F9">
      <w:pPr>
        <w:spacing w:line="460" w:lineRule="exact"/>
        <w:jc w:val="center"/>
        <w:rPr>
          <w:rFonts w:hint="eastAsia" w:ascii="新宋体" w:hAnsi="新宋体" w:eastAsia="新宋体" w:cs="新宋体"/>
          <w:b/>
          <w:bCs/>
          <w:color w:val="auto"/>
          <w:sz w:val="28"/>
          <w:szCs w:val="28"/>
          <w:highlight w:val="none"/>
        </w:rPr>
      </w:pPr>
    </w:p>
    <w:p w14:paraId="34CE49B7">
      <w:pPr>
        <w:spacing w:line="460" w:lineRule="exact"/>
        <w:jc w:val="center"/>
        <w:rPr>
          <w:rFonts w:hint="eastAsia" w:ascii="新宋体" w:hAnsi="新宋体" w:eastAsia="新宋体" w:cs="新宋体"/>
          <w:b/>
          <w:bCs/>
          <w:color w:val="auto"/>
          <w:sz w:val="28"/>
          <w:szCs w:val="28"/>
          <w:highlight w:val="none"/>
        </w:rPr>
      </w:pPr>
    </w:p>
    <w:p w14:paraId="5D7C08F4">
      <w:pPr>
        <w:spacing w:line="460" w:lineRule="exact"/>
        <w:jc w:val="center"/>
        <w:rPr>
          <w:rFonts w:hint="eastAsia" w:ascii="新宋体" w:hAnsi="新宋体" w:eastAsia="新宋体" w:cs="新宋体"/>
          <w:b/>
          <w:bCs/>
          <w:color w:val="auto"/>
          <w:sz w:val="28"/>
          <w:szCs w:val="28"/>
          <w:highlight w:val="none"/>
        </w:rPr>
      </w:pPr>
    </w:p>
    <w:p w14:paraId="24F72B6B">
      <w:pPr>
        <w:spacing w:line="460" w:lineRule="exact"/>
        <w:jc w:val="center"/>
        <w:rPr>
          <w:rFonts w:hint="eastAsia" w:ascii="新宋体" w:hAnsi="新宋体" w:eastAsia="新宋体" w:cs="新宋体"/>
          <w:b/>
          <w:bCs/>
          <w:color w:val="auto"/>
          <w:sz w:val="28"/>
          <w:szCs w:val="28"/>
          <w:highlight w:val="none"/>
        </w:rPr>
      </w:pPr>
    </w:p>
    <w:p w14:paraId="623E758D">
      <w:pPr>
        <w:spacing w:line="460" w:lineRule="exact"/>
        <w:jc w:val="center"/>
        <w:rPr>
          <w:rFonts w:hint="eastAsia" w:ascii="新宋体" w:hAnsi="新宋体" w:eastAsia="新宋体" w:cs="新宋体"/>
          <w:b/>
          <w:bCs/>
          <w:color w:val="auto"/>
          <w:sz w:val="28"/>
          <w:szCs w:val="28"/>
          <w:highlight w:val="none"/>
        </w:rPr>
      </w:pPr>
    </w:p>
    <w:p w14:paraId="04573D7E">
      <w:pPr>
        <w:spacing w:line="460" w:lineRule="exact"/>
        <w:jc w:val="center"/>
        <w:rPr>
          <w:rFonts w:hint="eastAsia" w:ascii="新宋体" w:hAnsi="新宋体" w:eastAsia="新宋体" w:cs="新宋体"/>
          <w:b/>
          <w:bCs/>
          <w:color w:val="auto"/>
          <w:sz w:val="28"/>
          <w:szCs w:val="28"/>
          <w:highlight w:val="none"/>
        </w:rPr>
      </w:pPr>
    </w:p>
    <w:p w14:paraId="2DB69C49">
      <w:pPr>
        <w:spacing w:line="460" w:lineRule="exact"/>
        <w:jc w:val="center"/>
        <w:rPr>
          <w:rFonts w:hint="eastAsia" w:ascii="新宋体" w:hAnsi="新宋体" w:eastAsia="新宋体" w:cs="新宋体"/>
          <w:b/>
          <w:bCs/>
          <w:color w:val="auto"/>
          <w:sz w:val="28"/>
          <w:szCs w:val="28"/>
          <w:highlight w:val="none"/>
        </w:rPr>
      </w:pPr>
    </w:p>
    <w:p w14:paraId="40F67B91">
      <w:pPr>
        <w:spacing w:line="460" w:lineRule="exact"/>
        <w:jc w:val="center"/>
        <w:rPr>
          <w:rFonts w:hint="eastAsia" w:ascii="新宋体" w:hAnsi="新宋体" w:eastAsia="新宋体" w:cs="新宋体"/>
          <w:b/>
          <w:bCs/>
          <w:color w:val="auto"/>
          <w:sz w:val="28"/>
          <w:szCs w:val="28"/>
          <w:highlight w:val="none"/>
        </w:rPr>
      </w:pPr>
    </w:p>
    <w:p w14:paraId="479845E4">
      <w:pPr>
        <w:spacing w:line="460" w:lineRule="exact"/>
        <w:jc w:val="center"/>
        <w:rPr>
          <w:rFonts w:hint="eastAsia" w:ascii="新宋体" w:hAnsi="新宋体" w:eastAsia="新宋体" w:cs="新宋体"/>
          <w:b/>
          <w:bCs/>
          <w:color w:val="auto"/>
          <w:sz w:val="28"/>
          <w:szCs w:val="28"/>
          <w:highlight w:val="none"/>
        </w:rPr>
        <w:sectPr>
          <w:headerReference r:id="rId6" w:type="first"/>
          <w:footerReference r:id="rId8" w:type="first"/>
          <w:footerReference r:id="rId7" w:type="default"/>
          <w:pgSz w:w="11907" w:h="16840"/>
          <w:pgMar w:top="1134" w:right="1134" w:bottom="1134" w:left="1134" w:header="851" w:footer="992" w:gutter="0"/>
          <w:pgBorders>
            <w:top w:val="none" w:sz="0" w:space="0"/>
            <w:left w:val="none" w:sz="0" w:space="0"/>
            <w:bottom w:val="none" w:sz="0" w:space="0"/>
            <w:right w:val="none" w:sz="0" w:space="0"/>
          </w:pgBorders>
          <w:cols w:space="720" w:num="1"/>
          <w:titlePg/>
          <w:docGrid w:linePitch="312" w:charSpace="0"/>
        </w:sectPr>
      </w:pPr>
    </w:p>
    <w:p w14:paraId="3315D1E9">
      <w:pPr>
        <w:spacing w:line="460" w:lineRule="exact"/>
        <w:jc w:val="center"/>
        <w:outlineLvl w:val="3"/>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8"/>
          <w:szCs w:val="28"/>
          <w:highlight w:val="none"/>
          <w:lang w:val="en-US" w:eastAsia="zh-CN"/>
        </w:rPr>
        <w:t>3</w:t>
      </w:r>
      <w:r>
        <w:rPr>
          <w:rFonts w:hint="eastAsia" w:ascii="新宋体" w:hAnsi="新宋体" w:eastAsia="新宋体" w:cs="新宋体"/>
          <w:b/>
          <w:bCs/>
          <w:color w:val="auto"/>
          <w:sz w:val="28"/>
          <w:szCs w:val="28"/>
          <w:highlight w:val="none"/>
        </w:rPr>
        <w:t>、投标人情况表</w:t>
      </w:r>
    </w:p>
    <w:p w14:paraId="371C8EA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616E38A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14788"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1115"/>
        <w:gridCol w:w="1689"/>
        <w:gridCol w:w="728"/>
        <w:gridCol w:w="387"/>
        <w:gridCol w:w="1100"/>
        <w:gridCol w:w="1488"/>
        <w:gridCol w:w="1488"/>
        <w:gridCol w:w="1502"/>
        <w:gridCol w:w="1488"/>
        <w:gridCol w:w="1115"/>
        <w:gridCol w:w="355"/>
        <w:gridCol w:w="1106"/>
      </w:tblGrid>
      <w:tr w14:paraId="3FFB9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14:paraId="79FBFBA5">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单位名称（盖章）</w:t>
            </w:r>
          </w:p>
        </w:tc>
        <w:tc>
          <w:tcPr>
            <w:tcW w:w="2804" w:type="dxa"/>
            <w:gridSpan w:val="2"/>
          </w:tcPr>
          <w:p w14:paraId="483AC9CB">
            <w:pPr>
              <w:spacing w:line="480" w:lineRule="exact"/>
              <w:rPr>
                <w:rFonts w:hint="eastAsia" w:ascii="新宋体" w:hAnsi="新宋体" w:eastAsia="新宋体" w:cs="新宋体"/>
                <w:color w:val="auto"/>
                <w:sz w:val="22"/>
                <w:szCs w:val="22"/>
                <w:highlight w:val="none"/>
              </w:rPr>
            </w:pPr>
          </w:p>
        </w:tc>
        <w:tc>
          <w:tcPr>
            <w:tcW w:w="1115" w:type="dxa"/>
            <w:gridSpan w:val="2"/>
          </w:tcPr>
          <w:p w14:paraId="4C0A4E40">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电 话</w:t>
            </w:r>
          </w:p>
        </w:tc>
        <w:tc>
          <w:tcPr>
            <w:tcW w:w="2588" w:type="dxa"/>
            <w:gridSpan w:val="2"/>
          </w:tcPr>
          <w:p w14:paraId="606FA14F">
            <w:pPr>
              <w:spacing w:line="480" w:lineRule="exact"/>
              <w:rPr>
                <w:rFonts w:hint="eastAsia" w:ascii="新宋体" w:hAnsi="新宋体" w:eastAsia="新宋体" w:cs="新宋体"/>
                <w:color w:val="auto"/>
                <w:sz w:val="22"/>
                <w:szCs w:val="22"/>
                <w:highlight w:val="none"/>
              </w:rPr>
            </w:pPr>
          </w:p>
        </w:tc>
        <w:tc>
          <w:tcPr>
            <w:tcW w:w="1488" w:type="dxa"/>
          </w:tcPr>
          <w:p w14:paraId="2B370D4F">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主管部门</w:t>
            </w:r>
          </w:p>
        </w:tc>
        <w:tc>
          <w:tcPr>
            <w:tcW w:w="1502" w:type="dxa"/>
          </w:tcPr>
          <w:p w14:paraId="115F1E36">
            <w:pPr>
              <w:spacing w:line="480" w:lineRule="exact"/>
              <w:rPr>
                <w:rFonts w:hint="eastAsia" w:ascii="新宋体" w:hAnsi="新宋体" w:eastAsia="新宋体" w:cs="新宋体"/>
                <w:color w:val="auto"/>
                <w:sz w:val="22"/>
                <w:szCs w:val="22"/>
                <w:highlight w:val="none"/>
              </w:rPr>
            </w:pPr>
          </w:p>
        </w:tc>
        <w:tc>
          <w:tcPr>
            <w:tcW w:w="1488" w:type="dxa"/>
          </w:tcPr>
          <w:p w14:paraId="0A0D6A06">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企业负责人</w:t>
            </w:r>
          </w:p>
        </w:tc>
        <w:tc>
          <w:tcPr>
            <w:tcW w:w="1115" w:type="dxa"/>
          </w:tcPr>
          <w:p w14:paraId="7C899A22">
            <w:pPr>
              <w:spacing w:line="480" w:lineRule="exact"/>
              <w:rPr>
                <w:rFonts w:hint="eastAsia" w:ascii="新宋体" w:hAnsi="新宋体" w:eastAsia="新宋体" w:cs="新宋体"/>
                <w:color w:val="auto"/>
                <w:sz w:val="22"/>
                <w:szCs w:val="22"/>
                <w:highlight w:val="none"/>
              </w:rPr>
            </w:pPr>
          </w:p>
        </w:tc>
        <w:tc>
          <w:tcPr>
            <w:tcW w:w="1461" w:type="dxa"/>
            <w:gridSpan w:val="2"/>
          </w:tcPr>
          <w:p w14:paraId="3475A22C">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职务</w:t>
            </w:r>
          </w:p>
        </w:tc>
      </w:tr>
      <w:tr w14:paraId="3C043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14:paraId="153C7508">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w:t>
            </w:r>
          </w:p>
        </w:tc>
        <w:tc>
          <w:tcPr>
            <w:tcW w:w="2804" w:type="dxa"/>
            <w:gridSpan w:val="2"/>
          </w:tcPr>
          <w:p w14:paraId="61C600DA">
            <w:pPr>
              <w:spacing w:line="480" w:lineRule="exact"/>
              <w:rPr>
                <w:rFonts w:hint="eastAsia" w:ascii="新宋体" w:hAnsi="新宋体" w:eastAsia="新宋体" w:cs="新宋体"/>
                <w:color w:val="auto"/>
                <w:sz w:val="22"/>
                <w:szCs w:val="22"/>
                <w:highlight w:val="none"/>
              </w:rPr>
            </w:pPr>
          </w:p>
        </w:tc>
        <w:tc>
          <w:tcPr>
            <w:tcW w:w="1115" w:type="dxa"/>
            <w:gridSpan w:val="2"/>
          </w:tcPr>
          <w:p w14:paraId="2EE5FE9F">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tc>
        <w:tc>
          <w:tcPr>
            <w:tcW w:w="2588" w:type="dxa"/>
            <w:gridSpan w:val="2"/>
          </w:tcPr>
          <w:p w14:paraId="4E12217D">
            <w:pPr>
              <w:spacing w:line="480" w:lineRule="exact"/>
              <w:rPr>
                <w:rFonts w:hint="eastAsia" w:ascii="新宋体" w:hAnsi="新宋体" w:eastAsia="新宋体" w:cs="新宋体"/>
                <w:color w:val="auto"/>
                <w:sz w:val="22"/>
                <w:szCs w:val="22"/>
                <w:highlight w:val="none"/>
              </w:rPr>
            </w:pPr>
          </w:p>
        </w:tc>
        <w:tc>
          <w:tcPr>
            <w:tcW w:w="1488" w:type="dxa"/>
          </w:tcPr>
          <w:p w14:paraId="5C101AA8">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企业性质</w:t>
            </w:r>
          </w:p>
        </w:tc>
        <w:tc>
          <w:tcPr>
            <w:tcW w:w="1502" w:type="dxa"/>
          </w:tcPr>
          <w:p w14:paraId="24370D3E">
            <w:pPr>
              <w:spacing w:line="480" w:lineRule="exact"/>
              <w:rPr>
                <w:rFonts w:hint="eastAsia" w:ascii="新宋体" w:hAnsi="新宋体" w:eastAsia="新宋体" w:cs="新宋体"/>
                <w:color w:val="auto"/>
                <w:sz w:val="22"/>
                <w:szCs w:val="22"/>
                <w:highlight w:val="none"/>
              </w:rPr>
            </w:pPr>
          </w:p>
        </w:tc>
        <w:tc>
          <w:tcPr>
            <w:tcW w:w="1488" w:type="dxa"/>
          </w:tcPr>
          <w:p w14:paraId="59226237">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授权代表</w:t>
            </w:r>
          </w:p>
        </w:tc>
        <w:tc>
          <w:tcPr>
            <w:tcW w:w="1115" w:type="dxa"/>
          </w:tcPr>
          <w:p w14:paraId="2D7CACCC">
            <w:pPr>
              <w:spacing w:line="480" w:lineRule="exact"/>
              <w:rPr>
                <w:rFonts w:hint="eastAsia" w:ascii="新宋体" w:hAnsi="新宋体" w:eastAsia="新宋体" w:cs="新宋体"/>
                <w:color w:val="auto"/>
                <w:sz w:val="22"/>
                <w:szCs w:val="22"/>
                <w:highlight w:val="none"/>
              </w:rPr>
            </w:pPr>
          </w:p>
        </w:tc>
        <w:tc>
          <w:tcPr>
            <w:tcW w:w="1461" w:type="dxa"/>
            <w:gridSpan w:val="2"/>
          </w:tcPr>
          <w:p w14:paraId="558C103A">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职务</w:t>
            </w:r>
          </w:p>
        </w:tc>
      </w:tr>
      <w:tr w14:paraId="61341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227" w:type="dxa"/>
            <w:vAlign w:val="center"/>
          </w:tcPr>
          <w:p w14:paraId="7DCF1C30">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单位简介</w:t>
            </w:r>
          </w:p>
          <w:p w14:paraId="1FB289EF">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及机构</w:t>
            </w:r>
          </w:p>
        </w:tc>
        <w:tc>
          <w:tcPr>
            <w:tcW w:w="6507" w:type="dxa"/>
            <w:gridSpan w:val="6"/>
            <w:vAlign w:val="center"/>
          </w:tcPr>
          <w:p w14:paraId="066A8843">
            <w:pPr>
              <w:spacing w:line="480" w:lineRule="exact"/>
              <w:jc w:val="center"/>
              <w:rPr>
                <w:rFonts w:hint="eastAsia" w:ascii="新宋体" w:hAnsi="新宋体" w:eastAsia="新宋体" w:cs="新宋体"/>
                <w:color w:val="auto"/>
                <w:sz w:val="22"/>
                <w:szCs w:val="22"/>
                <w:highlight w:val="none"/>
              </w:rPr>
            </w:pPr>
          </w:p>
        </w:tc>
        <w:tc>
          <w:tcPr>
            <w:tcW w:w="1488" w:type="dxa"/>
            <w:vAlign w:val="center"/>
          </w:tcPr>
          <w:p w14:paraId="104B957F">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单位优势</w:t>
            </w:r>
          </w:p>
          <w:p w14:paraId="175A7DE8">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及特长</w:t>
            </w:r>
          </w:p>
        </w:tc>
        <w:tc>
          <w:tcPr>
            <w:tcW w:w="5566" w:type="dxa"/>
            <w:gridSpan w:val="5"/>
          </w:tcPr>
          <w:p w14:paraId="2AD85FE9">
            <w:pPr>
              <w:spacing w:line="480" w:lineRule="exact"/>
              <w:rPr>
                <w:rFonts w:hint="eastAsia" w:ascii="新宋体" w:hAnsi="新宋体" w:eastAsia="新宋体" w:cs="新宋体"/>
                <w:color w:val="auto"/>
                <w:sz w:val="22"/>
                <w:szCs w:val="22"/>
                <w:highlight w:val="none"/>
              </w:rPr>
            </w:pPr>
          </w:p>
        </w:tc>
      </w:tr>
      <w:tr w14:paraId="14BF4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227" w:type="dxa"/>
            <w:vMerge w:val="restart"/>
            <w:vAlign w:val="center"/>
          </w:tcPr>
          <w:p w14:paraId="40F1ABEA">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单位概况</w:t>
            </w:r>
          </w:p>
        </w:tc>
        <w:tc>
          <w:tcPr>
            <w:tcW w:w="1115" w:type="dxa"/>
            <w:vMerge w:val="restart"/>
          </w:tcPr>
          <w:p w14:paraId="394974B1">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职工总数</w:t>
            </w:r>
          </w:p>
        </w:tc>
        <w:tc>
          <w:tcPr>
            <w:tcW w:w="1689" w:type="dxa"/>
            <w:vMerge w:val="restart"/>
          </w:tcPr>
          <w:p w14:paraId="13E39B82">
            <w:pPr>
              <w:spacing w:line="480" w:lineRule="exact"/>
              <w:ind w:firstLine="1540" w:firstLineChars="700"/>
              <w:rPr>
                <w:rFonts w:hint="eastAsia" w:ascii="新宋体" w:hAnsi="新宋体" w:eastAsia="新宋体" w:cs="新宋体"/>
                <w:color w:val="auto"/>
                <w:sz w:val="22"/>
                <w:szCs w:val="22"/>
                <w:highlight w:val="none"/>
              </w:rPr>
            </w:pPr>
          </w:p>
        </w:tc>
        <w:tc>
          <w:tcPr>
            <w:tcW w:w="3703" w:type="dxa"/>
            <w:gridSpan w:val="4"/>
            <w:vMerge w:val="restart"/>
          </w:tcPr>
          <w:p w14:paraId="48D3E177">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各人员构成情况</w:t>
            </w:r>
          </w:p>
        </w:tc>
        <w:tc>
          <w:tcPr>
            <w:tcW w:w="1488" w:type="dxa"/>
            <w:vMerge w:val="restart"/>
            <w:vAlign w:val="center"/>
          </w:tcPr>
          <w:p w14:paraId="04A1759A">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上一年主要  经济指标</w:t>
            </w:r>
          </w:p>
        </w:tc>
        <w:tc>
          <w:tcPr>
            <w:tcW w:w="1502" w:type="dxa"/>
            <w:vAlign w:val="center"/>
          </w:tcPr>
          <w:p w14:paraId="45D88DCC">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指标名称</w:t>
            </w:r>
          </w:p>
        </w:tc>
        <w:tc>
          <w:tcPr>
            <w:tcW w:w="1488" w:type="dxa"/>
            <w:tcBorders>
              <w:tr2bl w:val="single" w:color="auto" w:sz="4" w:space="0"/>
            </w:tcBorders>
            <w:vAlign w:val="center"/>
          </w:tcPr>
          <w:p w14:paraId="1AC1850F">
            <w:pPr>
              <w:spacing w:line="480" w:lineRule="exact"/>
              <w:jc w:val="center"/>
              <w:rPr>
                <w:rFonts w:hint="eastAsia" w:ascii="新宋体" w:hAnsi="新宋体" w:eastAsia="新宋体" w:cs="新宋体"/>
                <w:color w:val="auto"/>
                <w:sz w:val="22"/>
                <w:szCs w:val="22"/>
                <w:highlight w:val="none"/>
              </w:rPr>
            </w:pPr>
          </w:p>
        </w:tc>
        <w:tc>
          <w:tcPr>
            <w:tcW w:w="1470" w:type="dxa"/>
            <w:gridSpan w:val="2"/>
            <w:vAlign w:val="center"/>
          </w:tcPr>
          <w:p w14:paraId="6F451641">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实际完成</w:t>
            </w:r>
          </w:p>
        </w:tc>
        <w:tc>
          <w:tcPr>
            <w:tcW w:w="1106" w:type="dxa"/>
            <w:tcBorders>
              <w:tr2bl w:val="single" w:color="auto" w:sz="4" w:space="0"/>
            </w:tcBorders>
            <w:vAlign w:val="center"/>
          </w:tcPr>
          <w:p w14:paraId="2E61D8CE">
            <w:pPr>
              <w:spacing w:line="480" w:lineRule="exact"/>
              <w:jc w:val="center"/>
              <w:rPr>
                <w:rFonts w:hint="eastAsia" w:ascii="新宋体" w:hAnsi="新宋体" w:eastAsia="新宋体" w:cs="新宋体"/>
                <w:color w:val="auto"/>
                <w:sz w:val="22"/>
                <w:szCs w:val="22"/>
                <w:highlight w:val="none"/>
              </w:rPr>
            </w:pPr>
          </w:p>
        </w:tc>
      </w:tr>
      <w:tr w14:paraId="76FA4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227" w:type="dxa"/>
            <w:vMerge w:val="continue"/>
          </w:tcPr>
          <w:p w14:paraId="073B93D0">
            <w:pPr>
              <w:spacing w:line="480" w:lineRule="exact"/>
              <w:rPr>
                <w:rFonts w:hint="eastAsia" w:ascii="新宋体" w:hAnsi="新宋体" w:eastAsia="新宋体" w:cs="新宋体"/>
                <w:color w:val="auto"/>
                <w:sz w:val="22"/>
                <w:szCs w:val="22"/>
                <w:highlight w:val="none"/>
              </w:rPr>
            </w:pPr>
          </w:p>
        </w:tc>
        <w:tc>
          <w:tcPr>
            <w:tcW w:w="1115" w:type="dxa"/>
            <w:vMerge w:val="continue"/>
          </w:tcPr>
          <w:p w14:paraId="03186951">
            <w:pPr>
              <w:spacing w:line="480" w:lineRule="exact"/>
              <w:rPr>
                <w:rFonts w:hint="eastAsia" w:ascii="新宋体" w:hAnsi="新宋体" w:eastAsia="新宋体" w:cs="新宋体"/>
                <w:color w:val="auto"/>
                <w:sz w:val="22"/>
                <w:szCs w:val="22"/>
                <w:highlight w:val="none"/>
              </w:rPr>
            </w:pPr>
          </w:p>
        </w:tc>
        <w:tc>
          <w:tcPr>
            <w:tcW w:w="1689" w:type="dxa"/>
            <w:vMerge w:val="continue"/>
          </w:tcPr>
          <w:p w14:paraId="61C9C708">
            <w:pPr>
              <w:spacing w:line="480" w:lineRule="exact"/>
              <w:rPr>
                <w:rFonts w:hint="eastAsia" w:ascii="新宋体" w:hAnsi="新宋体" w:eastAsia="新宋体" w:cs="新宋体"/>
                <w:color w:val="auto"/>
                <w:sz w:val="22"/>
                <w:szCs w:val="22"/>
                <w:highlight w:val="none"/>
              </w:rPr>
            </w:pPr>
          </w:p>
        </w:tc>
        <w:tc>
          <w:tcPr>
            <w:tcW w:w="3703" w:type="dxa"/>
            <w:gridSpan w:val="4"/>
            <w:vMerge w:val="continue"/>
          </w:tcPr>
          <w:p w14:paraId="3923EF87">
            <w:pPr>
              <w:spacing w:line="480" w:lineRule="exact"/>
              <w:rPr>
                <w:rFonts w:hint="eastAsia" w:ascii="新宋体" w:hAnsi="新宋体" w:eastAsia="新宋体" w:cs="新宋体"/>
                <w:color w:val="auto"/>
                <w:sz w:val="22"/>
                <w:szCs w:val="22"/>
                <w:highlight w:val="none"/>
              </w:rPr>
            </w:pPr>
          </w:p>
        </w:tc>
        <w:tc>
          <w:tcPr>
            <w:tcW w:w="1488" w:type="dxa"/>
            <w:vMerge w:val="continue"/>
          </w:tcPr>
          <w:p w14:paraId="0639E838">
            <w:pPr>
              <w:spacing w:line="480" w:lineRule="exact"/>
              <w:rPr>
                <w:rFonts w:hint="eastAsia" w:ascii="新宋体" w:hAnsi="新宋体" w:eastAsia="新宋体" w:cs="新宋体"/>
                <w:color w:val="auto"/>
                <w:sz w:val="22"/>
                <w:szCs w:val="22"/>
                <w:highlight w:val="none"/>
              </w:rPr>
            </w:pPr>
          </w:p>
        </w:tc>
        <w:tc>
          <w:tcPr>
            <w:tcW w:w="1502" w:type="dxa"/>
            <w:vAlign w:val="center"/>
          </w:tcPr>
          <w:p w14:paraId="2AB350B7">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总产值</w:t>
            </w:r>
          </w:p>
        </w:tc>
        <w:tc>
          <w:tcPr>
            <w:tcW w:w="1488" w:type="dxa"/>
            <w:vAlign w:val="center"/>
          </w:tcPr>
          <w:p w14:paraId="772252BF">
            <w:pPr>
              <w:spacing w:line="480" w:lineRule="exact"/>
              <w:ind w:firstLine="660" w:firstLineChars="300"/>
              <w:jc w:val="righ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万元</w:t>
            </w:r>
          </w:p>
        </w:tc>
        <w:tc>
          <w:tcPr>
            <w:tcW w:w="1470" w:type="dxa"/>
            <w:gridSpan w:val="2"/>
            <w:vAlign w:val="center"/>
          </w:tcPr>
          <w:p w14:paraId="1FF57D74">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总产值</w:t>
            </w:r>
          </w:p>
        </w:tc>
        <w:tc>
          <w:tcPr>
            <w:tcW w:w="1106" w:type="dxa"/>
            <w:vAlign w:val="center"/>
          </w:tcPr>
          <w:p w14:paraId="23608CC7">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万元</w:t>
            </w:r>
          </w:p>
        </w:tc>
      </w:tr>
      <w:tr w14:paraId="275C6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1227" w:type="dxa"/>
            <w:vMerge w:val="continue"/>
          </w:tcPr>
          <w:p w14:paraId="75623F09">
            <w:pPr>
              <w:spacing w:line="480" w:lineRule="exact"/>
              <w:rPr>
                <w:rFonts w:hint="eastAsia" w:ascii="新宋体" w:hAnsi="新宋体" w:eastAsia="新宋体" w:cs="新宋体"/>
                <w:color w:val="auto"/>
                <w:sz w:val="22"/>
                <w:szCs w:val="22"/>
                <w:highlight w:val="none"/>
              </w:rPr>
            </w:pPr>
          </w:p>
        </w:tc>
        <w:tc>
          <w:tcPr>
            <w:tcW w:w="1115" w:type="dxa"/>
            <w:vMerge w:val="restart"/>
          </w:tcPr>
          <w:p w14:paraId="3B93C018">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流动资金</w:t>
            </w:r>
          </w:p>
        </w:tc>
        <w:tc>
          <w:tcPr>
            <w:tcW w:w="1689" w:type="dxa"/>
            <w:vMerge w:val="restart"/>
          </w:tcPr>
          <w:p w14:paraId="6E603DE6">
            <w:pPr>
              <w:spacing w:line="480" w:lineRule="exact"/>
              <w:jc w:val="righ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p w14:paraId="1D78656E">
            <w:pPr>
              <w:spacing w:line="480" w:lineRule="exact"/>
              <w:ind w:firstLine="660" w:firstLineChars="300"/>
              <w:jc w:val="righ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万元 </w:t>
            </w:r>
          </w:p>
        </w:tc>
        <w:tc>
          <w:tcPr>
            <w:tcW w:w="728" w:type="dxa"/>
            <w:vMerge w:val="restart"/>
          </w:tcPr>
          <w:p w14:paraId="6ABF232B">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资金</w:t>
            </w:r>
          </w:p>
          <w:p w14:paraId="4C58D21C">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来源</w:t>
            </w:r>
          </w:p>
        </w:tc>
        <w:tc>
          <w:tcPr>
            <w:tcW w:w="1487" w:type="dxa"/>
            <w:gridSpan w:val="2"/>
            <w:vAlign w:val="center"/>
          </w:tcPr>
          <w:p w14:paraId="4EA7691F">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自有资金</w:t>
            </w:r>
          </w:p>
        </w:tc>
        <w:tc>
          <w:tcPr>
            <w:tcW w:w="1488" w:type="dxa"/>
            <w:vAlign w:val="center"/>
          </w:tcPr>
          <w:p w14:paraId="0DBD6F7A">
            <w:pPr>
              <w:spacing w:line="480" w:lineRule="exact"/>
              <w:jc w:val="righ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万元</w:t>
            </w:r>
          </w:p>
        </w:tc>
        <w:tc>
          <w:tcPr>
            <w:tcW w:w="1488" w:type="dxa"/>
            <w:vMerge w:val="continue"/>
          </w:tcPr>
          <w:p w14:paraId="609B9435">
            <w:pPr>
              <w:spacing w:line="480" w:lineRule="exact"/>
              <w:rPr>
                <w:rFonts w:hint="eastAsia" w:ascii="新宋体" w:hAnsi="新宋体" w:eastAsia="新宋体" w:cs="新宋体"/>
                <w:color w:val="auto"/>
                <w:sz w:val="22"/>
                <w:szCs w:val="22"/>
                <w:highlight w:val="none"/>
              </w:rPr>
            </w:pPr>
          </w:p>
        </w:tc>
        <w:tc>
          <w:tcPr>
            <w:tcW w:w="1502" w:type="dxa"/>
            <w:vAlign w:val="center"/>
          </w:tcPr>
          <w:p w14:paraId="6B1BA4E2">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实现利润</w:t>
            </w:r>
          </w:p>
        </w:tc>
        <w:tc>
          <w:tcPr>
            <w:tcW w:w="1488" w:type="dxa"/>
            <w:vAlign w:val="center"/>
          </w:tcPr>
          <w:p w14:paraId="622889A0">
            <w:pPr>
              <w:spacing w:line="480" w:lineRule="exact"/>
              <w:ind w:firstLine="660" w:firstLineChars="300"/>
              <w:jc w:val="righ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万元</w:t>
            </w:r>
          </w:p>
        </w:tc>
        <w:tc>
          <w:tcPr>
            <w:tcW w:w="1470" w:type="dxa"/>
            <w:gridSpan w:val="2"/>
            <w:vAlign w:val="center"/>
          </w:tcPr>
          <w:p w14:paraId="0B644E81">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实现利润</w:t>
            </w:r>
          </w:p>
        </w:tc>
        <w:tc>
          <w:tcPr>
            <w:tcW w:w="1106" w:type="dxa"/>
            <w:vAlign w:val="center"/>
          </w:tcPr>
          <w:p w14:paraId="6900C18B">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万元</w:t>
            </w:r>
          </w:p>
        </w:tc>
      </w:tr>
      <w:tr w14:paraId="6FA84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227" w:type="dxa"/>
            <w:vMerge w:val="continue"/>
            <w:tcBorders>
              <w:bottom w:val="single" w:color="auto" w:sz="4" w:space="0"/>
            </w:tcBorders>
          </w:tcPr>
          <w:p w14:paraId="778D7964">
            <w:pPr>
              <w:spacing w:line="480" w:lineRule="exact"/>
              <w:rPr>
                <w:rFonts w:hint="eastAsia" w:ascii="新宋体" w:hAnsi="新宋体" w:eastAsia="新宋体" w:cs="新宋体"/>
                <w:color w:val="auto"/>
                <w:sz w:val="22"/>
                <w:szCs w:val="22"/>
                <w:highlight w:val="none"/>
              </w:rPr>
            </w:pPr>
          </w:p>
        </w:tc>
        <w:tc>
          <w:tcPr>
            <w:tcW w:w="1115" w:type="dxa"/>
            <w:vMerge w:val="continue"/>
            <w:tcBorders>
              <w:bottom w:val="single" w:color="auto" w:sz="4" w:space="0"/>
            </w:tcBorders>
          </w:tcPr>
          <w:p w14:paraId="703900F7">
            <w:pPr>
              <w:spacing w:line="480" w:lineRule="exact"/>
              <w:rPr>
                <w:rFonts w:hint="eastAsia" w:ascii="新宋体" w:hAnsi="新宋体" w:eastAsia="新宋体" w:cs="新宋体"/>
                <w:color w:val="auto"/>
                <w:sz w:val="22"/>
                <w:szCs w:val="22"/>
                <w:highlight w:val="none"/>
              </w:rPr>
            </w:pPr>
          </w:p>
        </w:tc>
        <w:tc>
          <w:tcPr>
            <w:tcW w:w="1689" w:type="dxa"/>
            <w:vMerge w:val="continue"/>
            <w:tcBorders>
              <w:bottom w:val="single" w:color="auto" w:sz="4" w:space="0"/>
            </w:tcBorders>
          </w:tcPr>
          <w:p w14:paraId="5DDA0006">
            <w:pPr>
              <w:spacing w:line="480" w:lineRule="exact"/>
              <w:rPr>
                <w:rFonts w:hint="eastAsia" w:ascii="新宋体" w:hAnsi="新宋体" w:eastAsia="新宋体" w:cs="新宋体"/>
                <w:color w:val="auto"/>
                <w:sz w:val="22"/>
                <w:szCs w:val="22"/>
                <w:highlight w:val="none"/>
              </w:rPr>
            </w:pPr>
          </w:p>
        </w:tc>
        <w:tc>
          <w:tcPr>
            <w:tcW w:w="728" w:type="dxa"/>
            <w:vMerge w:val="continue"/>
            <w:tcBorders>
              <w:bottom w:val="single" w:color="auto" w:sz="4" w:space="0"/>
            </w:tcBorders>
          </w:tcPr>
          <w:p w14:paraId="6EA1A493">
            <w:pPr>
              <w:spacing w:line="480" w:lineRule="exact"/>
              <w:rPr>
                <w:rFonts w:hint="eastAsia" w:ascii="新宋体" w:hAnsi="新宋体" w:eastAsia="新宋体" w:cs="新宋体"/>
                <w:color w:val="auto"/>
                <w:sz w:val="22"/>
                <w:szCs w:val="22"/>
                <w:highlight w:val="none"/>
              </w:rPr>
            </w:pPr>
          </w:p>
        </w:tc>
        <w:tc>
          <w:tcPr>
            <w:tcW w:w="1487" w:type="dxa"/>
            <w:gridSpan w:val="2"/>
            <w:tcBorders>
              <w:bottom w:val="single" w:color="auto" w:sz="4" w:space="0"/>
            </w:tcBorders>
          </w:tcPr>
          <w:p w14:paraId="5A8204D8">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银行贷款</w:t>
            </w:r>
          </w:p>
        </w:tc>
        <w:tc>
          <w:tcPr>
            <w:tcW w:w="1488" w:type="dxa"/>
            <w:tcBorders>
              <w:bottom w:val="single" w:color="auto" w:sz="4" w:space="0"/>
            </w:tcBorders>
          </w:tcPr>
          <w:p w14:paraId="6A14FD6C">
            <w:pPr>
              <w:spacing w:line="480" w:lineRule="exact"/>
              <w:jc w:val="righ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万元</w:t>
            </w:r>
          </w:p>
        </w:tc>
        <w:tc>
          <w:tcPr>
            <w:tcW w:w="1488" w:type="dxa"/>
            <w:vMerge w:val="continue"/>
            <w:tcBorders>
              <w:bottom w:val="single" w:color="auto" w:sz="4" w:space="0"/>
            </w:tcBorders>
          </w:tcPr>
          <w:p w14:paraId="3D184995">
            <w:pPr>
              <w:spacing w:line="480" w:lineRule="exact"/>
              <w:rPr>
                <w:rFonts w:hint="eastAsia" w:ascii="新宋体" w:hAnsi="新宋体" w:eastAsia="新宋体" w:cs="新宋体"/>
                <w:color w:val="auto"/>
                <w:sz w:val="22"/>
                <w:szCs w:val="22"/>
                <w:highlight w:val="none"/>
              </w:rPr>
            </w:pPr>
          </w:p>
        </w:tc>
        <w:tc>
          <w:tcPr>
            <w:tcW w:w="1502" w:type="dxa"/>
            <w:vMerge w:val="restart"/>
            <w:tcBorders>
              <w:bottom w:val="single" w:color="auto" w:sz="4" w:space="0"/>
            </w:tcBorders>
            <w:vAlign w:val="center"/>
          </w:tcPr>
          <w:p w14:paraId="30CDE8D8">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主要业绩</w:t>
            </w:r>
          </w:p>
        </w:tc>
        <w:tc>
          <w:tcPr>
            <w:tcW w:w="4064" w:type="dxa"/>
            <w:gridSpan w:val="4"/>
            <w:vMerge w:val="restart"/>
            <w:tcBorders>
              <w:bottom w:val="single" w:color="auto" w:sz="4" w:space="0"/>
            </w:tcBorders>
            <w:vAlign w:val="center"/>
          </w:tcPr>
          <w:p w14:paraId="2D93E3E9">
            <w:pPr>
              <w:spacing w:line="480" w:lineRule="exact"/>
              <w:jc w:val="center"/>
              <w:rPr>
                <w:rFonts w:hint="eastAsia" w:ascii="新宋体" w:hAnsi="新宋体" w:eastAsia="新宋体" w:cs="新宋体"/>
                <w:color w:val="auto"/>
                <w:sz w:val="22"/>
                <w:szCs w:val="22"/>
                <w:highlight w:val="none"/>
              </w:rPr>
            </w:pPr>
          </w:p>
        </w:tc>
      </w:tr>
      <w:tr w14:paraId="49AB0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1227" w:type="dxa"/>
            <w:vMerge w:val="continue"/>
          </w:tcPr>
          <w:p w14:paraId="3AC8641C">
            <w:pPr>
              <w:spacing w:line="480" w:lineRule="exact"/>
              <w:rPr>
                <w:rFonts w:hint="eastAsia" w:ascii="新宋体" w:hAnsi="新宋体" w:eastAsia="新宋体" w:cs="新宋体"/>
                <w:color w:val="auto"/>
                <w:sz w:val="22"/>
                <w:szCs w:val="22"/>
                <w:highlight w:val="none"/>
              </w:rPr>
            </w:pPr>
          </w:p>
        </w:tc>
        <w:tc>
          <w:tcPr>
            <w:tcW w:w="1115" w:type="dxa"/>
            <w:vMerge w:val="restart"/>
          </w:tcPr>
          <w:p w14:paraId="22375B75">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固定资产</w:t>
            </w:r>
          </w:p>
        </w:tc>
        <w:tc>
          <w:tcPr>
            <w:tcW w:w="1689" w:type="dxa"/>
            <w:vMerge w:val="restart"/>
          </w:tcPr>
          <w:p w14:paraId="299D1327">
            <w:pPr>
              <w:spacing w:line="480" w:lineRule="exact"/>
              <w:jc w:val="righ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原值   万元</w:t>
            </w:r>
          </w:p>
          <w:p w14:paraId="46C6BE7A">
            <w:pPr>
              <w:spacing w:line="480" w:lineRule="exact"/>
              <w:jc w:val="righ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净值   万元</w:t>
            </w:r>
          </w:p>
        </w:tc>
        <w:tc>
          <w:tcPr>
            <w:tcW w:w="728" w:type="dxa"/>
            <w:vMerge w:val="restart"/>
          </w:tcPr>
          <w:p w14:paraId="51D365CD">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资金</w:t>
            </w:r>
          </w:p>
          <w:p w14:paraId="775D9FBE">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性质</w:t>
            </w:r>
          </w:p>
        </w:tc>
        <w:tc>
          <w:tcPr>
            <w:tcW w:w="1487" w:type="dxa"/>
            <w:gridSpan w:val="2"/>
          </w:tcPr>
          <w:p w14:paraId="7A8AE99A">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生产性</w:t>
            </w:r>
          </w:p>
        </w:tc>
        <w:tc>
          <w:tcPr>
            <w:tcW w:w="1488" w:type="dxa"/>
          </w:tcPr>
          <w:p w14:paraId="3297B385">
            <w:pPr>
              <w:spacing w:line="480" w:lineRule="exact"/>
              <w:jc w:val="righ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万元</w:t>
            </w:r>
          </w:p>
        </w:tc>
        <w:tc>
          <w:tcPr>
            <w:tcW w:w="1488" w:type="dxa"/>
            <w:vMerge w:val="continue"/>
          </w:tcPr>
          <w:p w14:paraId="6A700BA4">
            <w:pPr>
              <w:spacing w:line="480" w:lineRule="exact"/>
              <w:rPr>
                <w:rFonts w:hint="eastAsia" w:ascii="新宋体" w:hAnsi="新宋体" w:eastAsia="新宋体" w:cs="新宋体"/>
                <w:color w:val="auto"/>
                <w:sz w:val="22"/>
                <w:szCs w:val="22"/>
                <w:highlight w:val="none"/>
              </w:rPr>
            </w:pPr>
          </w:p>
        </w:tc>
        <w:tc>
          <w:tcPr>
            <w:tcW w:w="1502" w:type="dxa"/>
            <w:vMerge w:val="continue"/>
          </w:tcPr>
          <w:p w14:paraId="01BF96B4">
            <w:pPr>
              <w:spacing w:line="480" w:lineRule="exact"/>
              <w:rPr>
                <w:rFonts w:hint="eastAsia" w:ascii="新宋体" w:hAnsi="新宋体" w:eastAsia="新宋体" w:cs="新宋体"/>
                <w:color w:val="auto"/>
                <w:sz w:val="22"/>
                <w:szCs w:val="22"/>
                <w:highlight w:val="none"/>
              </w:rPr>
            </w:pPr>
          </w:p>
        </w:tc>
        <w:tc>
          <w:tcPr>
            <w:tcW w:w="4064" w:type="dxa"/>
            <w:gridSpan w:val="4"/>
            <w:vMerge w:val="continue"/>
          </w:tcPr>
          <w:p w14:paraId="102A857D">
            <w:pPr>
              <w:spacing w:line="480" w:lineRule="exact"/>
              <w:rPr>
                <w:rFonts w:hint="eastAsia" w:ascii="新宋体" w:hAnsi="新宋体" w:eastAsia="新宋体" w:cs="新宋体"/>
                <w:color w:val="auto"/>
                <w:sz w:val="22"/>
                <w:szCs w:val="22"/>
                <w:highlight w:val="none"/>
              </w:rPr>
            </w:pPr>
          </w:p>
        </w:tc>
      </w:tr>
      <w:tr w14:paraId="15964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1227" w:type="dxa"/>
            <w:vMerge w:val="continue"/>
          </w:tcPr>
          <w:p w14:paraId="1127E835">
            <w:pPr>
              <w:spacing w:line="480" w:lineRule="exact"/>
              <w:rPr>
                <w:rFonts w:hint="eastAsia" w:ascii="新宋体" w:hAnsi="新宋体" w:eastAsia="新宋体" w:cs="新宋体"/>
                <w:color w:val="auto"/>
                <w:sz w:val="22"/>
                <w:szCs w:val="22"/>
                <w:highlight w:val="none"/>
              </w:rPr>
            </w:pPr>
          </w:p>
        </w:tc>
        <w:tc>
          <w:tcPr>
            <w:tcW w:w="1115" w:type="dxa"/>
            <w:vMerge w:val="continue"/>
          </w:tcPr>
          <w:p w14:paraId="2A9EB49E">
            <w:pPr>
              <w:spacing w:line="480" w:lineRule="exact"/>
              <w:rPr>
                <w:rFonts w:hint="eastAsia" w:ascii="新宋体" w:hAnsi="新宋体" w:eastAsia="新宋体" w:cs="新宋体"/>
                <w:color w:val="auto"/>
                <w:sz w:val="22"/>
                <w:szCs w:val="22"/>
                <w:highlight w:val="none"/>
              </w:rPr>
            </w:pPr>
          </w:p>
        </w:tc>
        <w:tc>
          <w:tcPr>
            <w:tcW w:w="1689" w:type="dxa"/>
            <w:vMerge w:val="continue"/>
          </w:tcPr>
          <w:p w14:paraId="3094597B">
            <w:pPr>
              <w:spacing w:line="480" w:lineRule="exact"/>
              <w:rPr>
                <w:rFonts w:hint="eastAsia" w:ascii="新宋体" w:hAnsi="新宋体" w:eastAsia="新宋体" w:cs="新宋体"/>
                <w:color w:val="auto"/>
                <w:sz w:val="22"/>
                <w:szCs w:val="22"/>
                <w:highlight w:val="none"/>
              </w:rPr>
            </w:pPr>
          </w:p>
        </w:tc>
        <w:tc>
          <w:tcPr>
            <w:tcW w:w="728" w:type="dxa"/>
            <w:vMerge w:val="continue"/>
          </w:tcPr>
          <w:p w14:paraId="047B5EF4">
            <w:pPr>
              <w:spacing w:line="480" w:lineRule="exact"/>
              <w:rPr>
                <w:rFonts w:hint="eastAsia" w:ascii="新宋体" w:hAnsi="新宋体" w:eastAsia="新宋体" w:cs="新宋体"/>
                <w:color w:val="auto"/>
                <w:sz w:val="22"/>
                <w:szCs w:val="22"/>
                <w:highlight w:val="none"/>
              </w:rPr>
            </w:pPr>
          </w:p>
        </w:tc>
        <w:tc>
          <w:tcPr>
            <w:tcW w:w="1487" w:type="dxa"/>
            <w:gridSpan w:val="2"/>
          </w:tcPr>
          <w:p w14:paraId="6783E16D">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非生产性</w:t>
            </w:r>
          </w:p>
        </w:tc>
        <w:tc>
          <w:tcPr>
            <w:tcW w:w="1488" w:type="dxa"/>
          </w:tcPr>
          <w:p w14:paraId="3E94D31C">
            <w:pPr>
              <w:spacing w:line="480" w:lineRule="exact"/>
              <w:jc w:val="righ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万元</w:t>
            </w:r>
          </w:p>
        </w:tc>
        <w:tc>
          <w:tcPr>
            <w:tcW w:w="1488" w:type="dxa"/>
            <w:vMerge w:val="continue"/>
          </w:tcPr>
          <w:p w14:paraId="49630BED">
            <w:pPr>
              <w:spacing w:line="480" w:lineRule="exact"/>
              <w:rPr>
                <w:rFonts w:hint="eastAsia" w:ascii="新宋体" w:hAnsi="新宋体" w:eastAsia="新宋体" w:cs="新宋体"/>
                <w:color w:val="auto"/>
                <w:sz w:val="22"/>
                <w:szCs w:val="22"/>
                <w:highlight w:val="none"/>
              </w:rPr>
            </w:pPr>
          </w:p>
        </w:tc>
        <w:tc>
          <w:tcPr>
            <w:tcW w:w="1502" w:type="dxa"/>
            <w:vMerge w:val="continue"/>
          </w:tcPr>
          <w:p w14:paraId="2676C42B">
            <w:pPr>
              <w:spacing w:line="480" w:lineRule="exact"/>
              <w:rPr>
                <w:rFonts w:hint="eastAsia" w:ascii="新宋体" w:hAnsi="新宋体" w:eastAsia="新宋体" w:cs="新宋体"/>
                <w:color w:val="auto"/>
                <w:sz w:val="22"/>
                <w:szCs w:val="22"/>
                <w:highlight w:val="none"/>
              </w:rPr>
            </w:pPr>
          </w:p>
        </w:tc>
        <w:tc>
          <w:tcPr>
            <w:tcW w:w="4064" w:type="dxa"/>
            <w:gridSpan w:val="4"/>
            <w:vMerge w:val="continue"/>
          </w:tcPr>
          <w:p w14:paraId="10A49754">
            <w:pPr>
              <w:spacing w:line="480" w:lineRule="exact"/>
              <w:rPr>
                <w:rFonts w:hint="eastAsia" w:ascii="新宋体" w:hAnsi="新宋体" w:eastAsia="新宋体" w:cs="新宋体"/>
                <w:color w:val="auto"/>
                <w:sz w:val="22"/>
                <w:szCs w:val="22"/>
                <w:highlight w:val="none"/>
              </w:rPr>
            </w:pPr>
          </w:p>
        </w:tc>
      </w:tr>
    </w:tbl>
    <w:p w14:paraId="2ADC89D9">
      <w:pPr>
        <w:spacing w:line="460" w:lineRule="exact"/>
        <w:rPr>
          <w:rFonts w:hint="eastAsia" w:ascii="新宋体" w:hAnsi="新宋体" w:eastAsia="新宋体" w:cs="新宋体"/>
          <w:color w:val="auto"/>
          <w:sz w:val="22"/>
          <w:szCs w:val="22"/>
          <w:highlight w:val="none"/>
        </w:rPr>
        <w:sectPr>
          <w:pgSz w:w="16840" w:h="11907" w:orient="landscape"/>
          <w:pgMar w:top="1134" w:right="1134" w:bottom="1134" w:left="1134" w:header="851" w:footer="992" w:gutter="0"/>
          <w:pgBorders>
            <w:top w:val="none" w:sz="0" w:space="0"/>
            <w:left w:val="none" w:sz="0" w:space="0"/>
            <w:bottom w:val="none" w:sz="0" w:space="0"/>
            <w:right w:val="none" w:sz="0" w:space="0"/>
          </w:pgBorders>
          <w:cols w:space="720" w:num="1"/>
          <w:titlePg/>
          <w:docGrid w:linePitch="312" w:charSpace="0"/>
        </w:sectPr>
      </w:pPr>
    </w:p>
    <w:p w14:paraId="123D4C66">
      <w:pPr>
        <w:spacing w:line="460" w:lineRule="exact"/>
        <w:jc w:val="center"/>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lang w:val="en-US" w:eastAsia="zh-CN"/>
        </w:rPr>
        <w:t>4</w:t>
      </w:r>
      <w:r>
        <w:rPr>
          <w:rFonts w:hint="eastAsia" w:ascii="新宋体" w:hAnsi="新宋体" w:eastAsia="新宋体" w:cs="新宋体"/>
          <w:b/>
          <w:bCs/>
          <w:color w:val="auto"/>
          <w:sz w:val="28"/>
          <w:szCs w:val="28"/>
          <w:highlight w:val="none"/>
        </w:rPr>
        <w:t>、廉政承诺书</w:t>
      </w:r>
    </w:p>
    <w:p w14:paraId="0EA12224">
      <w:pPr>
        <w:tabs>
          <w:tab w:val="left" w:pos="360"/>
        </w:tabs>
        <w:spacing w:line="460" w:lineRule="exac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温州市第七人民医院</w:t>
      </w:r>
      <w:r>
        <w:rPr>
          <w:rFonts w:hint="eastAsia" w:ascii="新宋体" w:hAnsi="新宋体" w:eastAsia="新宋体" w:cs="新宋体"/>
          <w:color w:val="auto"/>
          <w:sz w:val="22"/>
          <w:highlight w:val="none"/>
        </w:rPr>
        <w:t>、温州历程招标有限公司：</w:t>
      </w:r>
    </w:p>
    <w:p w14:paraId="47E5F217">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为加强采购活动中的廉政建设，防止发生违法违纪行为，体现公开、公平、公正的原则，根据国家有关法律、法规和廉政建设责任制的规定，本投标人特作如下承诺：</w:t>
      </w:r>
    </w:p>
    <w:p w14:paraId="75BD9015">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一、不与</w:t>
      </w:r>
      <w:r>
        <w:rPr>
          <w:rFonts w:hint="eastAsia" w:ascii="新宋体" w:hAnsi="新宋体" w:eastAsia="新宋体" w:cs="新宋体"/>
          <w:color w:val="auto"/>
          <w:sz w:val="22"/>
          <w:highlight w:val="none"/>
          <w:lang w:eastAsia="zh-CN"/>
        </w:rPr>
        <w:t>招标人</w:t>
      </w:r>
      <w:r>
        <w:rPr>
          <w:rFonts w:hint="eastAsia" w:ascii="新宋体" w:hAnsi="新宋体" w:eastAsia="新宋体" w:cs="新宋体"/>
          <w:color w:val="auto"/>
          <w:sz w:val="22"/>
          <w:highlight w:val="none"/>
        </w:rPr>
        <w:t>、</w:t>
      </w:r>
      <w:r>
        <w:rPr>
          <w:rFonts w:hint="eastAsia" w:ascii="新宋体" w:hAnsi="新宋体" w:eastAsia="新宋体" w:cs="新宋体"/>
          <w:color w:val="auto"/>
          <w:sz w:val="22"/>
          <w:highlight w:val="none"/>
          <w:lang w:eastAsia="zh-CN"/>
        </w:rPr>
        <w:t>招标代理机构</w:t>
      </w:r>
      <w:r>
        <w:rPr>
          <w:rFonts w:hint="eastAsia" w:ascii="新宋体" w:hAnsi="新宋体" w:eastAsia="新宋体" w:cs="新宋体"/>
          <w:color w:val="auto"/>
          <w:sz w:val="22"/>
          <w:highlight w:val="none"/>
        </w:rPr>
        <w:t>及其他投标人私下串通协商，进行围标、串标、抬标、控制投标价格。</w:t>
      </w:r>
    </w:p>
    <w:p w14:paraId="0631770F">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二、不向</w:t>
      </w:r>
      <w:r>
        <w:rPr>
          <w:rFonts w:hint="eastAsia" w:ascii="新宋体" w:hAnsi="新宋体" w:eastAsia="新宋体" w:cs="新宋体"/>
          <w:color w:val="auto"/>
          <w:sz w:val="22"/>
          <w:highlight w:val="none"/>
          <w:lang w:eastAsia="zh-CN"/>
        </w:rPr>
        <w:t>招标人</w:t>
      </w:r>
      <w:r>
        <w:rPr>
          <w:rFonts w:hint="eastAsia" w:ascii="新宋体" w:hAnsi="新宋体" w:eastAsia="新宋体" w:cs="新宋体"/>
          <w:color w:val="auto"/>
          <w:sz w:val="22"/>
          <w:highlight w:val="none"/>
        </w:rPr>
        <w:t>、</w:t>
      </w:r>
      <w:r>
        <w:rPr>
          <w:rFonts w:hint="eastAsia" w:ascii="新宋体" w:hAnsi="新宋体" w:eastAsia="新宋体" w:cs="新宋体"/>
          <w:color w:val="auto"/>
          <w:sz w:val="22"/>
          <w:highlight w:val="none"/>
          <w:lang w:eastAsia="zh-CN"/>
        </w:rPr>
        <w:t>招标代理机构</w:t>
      </w:r>
      <w:r>
        <w:rPr>
          <w:rFonts w:hint="eastAsia" w:ascii="新宋体" w:hAnsi="新宋体" w:eastAsia="新宋体" w:cs="新宋体"/>
          <w:color w:val="auto"/>
          <w:sz w:val="22"/>
          <w:highlight w:val="none"/>
        </w:rPr>
        <w:t>、评标专家行贿，以不正当手段谋取中标。</w:t>
      </w:r>
    </w:p>
    <w:p w14:paraId="7F80A130">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三、不向监管人员请客、送礼及组织其他有可能影响客观公正监管的活动。</w:t>
      </w:r>
    </w:p>
    <w:p w14:paraId="23200100">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四、自觉遵守开标、评标现场工作纪律，不私下接触评标专家，不干扰正常的开标评标秩序。</w:t>
      </w:r>
    </w:p>
    <w:p w14:paraId="1918CD88">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五、不给责任人的违法违规行为说情、解脱。</w:t>
      </w:r>
    </w:p>
    <w:p w14:paraId="7474DB0B">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如违反上述承诺，你方有权立即取消我单位投标、中标或在建项目的履约资格，有权拒绝我单位在一定时期内进入你方进行政府采购或其他经营活动，并通报监督管理部门、纪检监察部门或司法机关调查处理。由此引起的相应损失均由我单位承担。</w:t>
      </w:r>
    </w:p>
    <w:p w14:paraId="06EC6DFC">
      <w:pPr>
        <w:tabs>
          <w:tab w:val="left" w:pos="360"/>
        </w:tabs>
        <w:spacing w:line="460" w:lineRule="exact"/>
        <w:rPr>
          <w:rFonts w:hint="eastAsia" w:ascii="新宋体" w:hAnsi="新宋体" w:eastAsia="新宋体" w:cs="新宋体"/>
          <w:color w:val="auto"/>
          <w:sz w:val="22"/>
          <w:highlight w:val="none"/>
        </w:rPr>
      </w:pPr>
    </w:p>
    <w:p w14:paraId="7B2A7A87">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特此承诺！</w:t>
      </w:r>
    </w:p>
    <w:p w14:paraId="0AB83FE6">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rPr>
      </w:pPr>
    </w:p>
    <w:p w14:paraId="4DC012F6">
      <w:pPr>
        <w:keepNext w:val="0"/>
        <w:keepLines w:val="0"/>
        <w:pageBreakBefore w:val="0"/>
        <w:kinsoku/>
        <w:wordWrap/>
        <w:overflowPunct/>
        <w:topLinePunct w:val="0"/>
        <w:autoSpaceDE/>
        <w:autoSpaceDN/>
        <w:bidi w:val="0"/>
        <w:adjustRightIn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41AB504A">
      <w:pPr>
        <w:keepNext w:val="0"/>
        <w:keepLines w:val="0"/>
        <w:pageBreakBefore w:val="0"/>
        <w:kinsoku/>
        <w:wordWrap/>
        <w:overflowPunct/>
        <w:topLinePunct w:val="0"/>
        <w:autoSpaceDE/>
        <w:autoSpaceDN/>
        <w:bidi w:val="0"/>
        <w:adjustRightIn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1F585D8A">
      <w:pPr>
        <w:keepNext w:val="0"/>
        <w:keepLines w:val="0"/>
        <w:pageBreakBefore w:val="0"/>
        <w:kinsoku/>
        <w:wordWrap/>
        <w:overflowPunct/>
        <w:topLinePunct w:val="0"/>
        <w:autoSpaceDE/>
        <w:autoSpaceDN/>
        <w:bidi w:val="0"/>
        <w:adjustRightIn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9343755">
      <w:pPr>
        <w:pStyle w:val="9"/>
        <w:ind w:firstLine="440"/>
        <w:rPr>
          <w:rFonts w:hint="eastAsia" w:ascii="新宋体" w:hAnsi="新宋体" w:eastAsia="新宋体" w:cs="新宋体"/>
          <w:color w:val="auto"/>
          <w:sz w:val="22"/>
          <w:szCs w:val="22"/>
          <w:highlight w:val="none"/>
        </w:rPr>
      </w:pPr>
    </w:p>
    <w:p w14:paraId="409FCD60">
      <w:pPr>
        <w:rPr>
          <w:rFonts w:hint="eastAsia" w:ascii="新宋体" w:hAnsi="新宋体" w:eastAsia="新宋体" w:cs="新宋体"/>
          <w:color w:val="auto"/>
          <w:sz w:val="22"/>
          <w:szCs w:val="22"/>
          <w:highlight w:val="none"/>
        </w:rPr>
      </w:pPr>
    </w:p>
    <w:p w14:paraId="7ABC08C2">
      <w:pPr>
        <w:pStyle w:val="9"/>
        <w:ind w:firstLine="440"/>
        <w:rPr>
          <w:rFonts w:hint="eastAsia" w:ascii="新宋体" w:hAnsi="新宋体" w:eastAsia="新宋体" w:cs="新宋体"/>
          <w:color w:val="auto"/>
          <w:sz w:val="22"/>
          <w:szCs w:val="22"/>
          <w:highlight w:val="none"/>
        </w:rPr>
      </w:pPr>
    </w:p>
    <w:p w14:paraId="74ABEF0D">
      <w:pPr>
        <w:rPr>
          <w:rFonts w:hint="eastAsia" w:ascii="新宋体" w:hAnsi="新宋体" w:eastAsia="新宋体" w:cs="新宋体"/>
          <w:color w:val="auto"/>
          <w:sz w:val="22"/>
          <w:szCs w:val="22"/>
          <w:highlight w:val="none"/>
        </w:rPr>
      </w:pPr>
    </w:p>
    <w:p w14:paraId="6A160385">
      <w:pPr>
        <w:pStyle w:val="9"/>
        <w:ind w:firstLine="440"/>
        <w:rPr>
          <w:rFonts w:hint="eastAsia" w:ascii="新宋体" w:hAnsi="新宋体" w:eastAsia="新宋体" w:cs="新宋体"/>
          <w:color w:val="auto"/>
          <w:sz w:val="22"/>
          <w:szCs w:val="22"/>
          <w:highlight w:val="none"/>
        </w:rPr>
      </w:pPr>
    </w:p>
    <w:p w14:paraId="1FE90F17">
      <w:pPr>
        <w:rPr>
          <w:rFonts w:hint="eastAsia" w:ascii="新宋体" w:hAnsi="新宋体" w:eastAsia="新宋体" w:cs="新宋体"/>
          <w:color w:val="auto"/>
          <w:sz w:val="22"/>
          <w:szCs w:val="22"/>
          <w:highlight w:val="none"/>
        </w:rPr>
      </w:pPr>
    </w:p>
    <w:p w14:paraId="4095CD3A">
      <w:pPr>
        <w:pStyle w:val="9"/>
        <w:ind w:firstLine="440"/>
        <w:rPr>
          <w:rFonts w:hint="eastAsia" w:ascii="新宋体" w:hAnsi="新宋体" w:eastAsia="新宋体" w:cs="新宋体"/>
          <w:color w:val="auto"/>
          <w:sz w:val="22"/>
          <w:szCs w:val="22"/>
          <w:highlight w:val="none"/>
        </w:rPr>
      </w:pPr>
    </w:p>
    <w:p w14:paraId="6C50587B">
      <w:pPr>
        <w:rPr>
          <w:rFonts w:hint="eastAsia" w:ascii="新宋体" w:hAnsi="新宋体" w:eastAsia="新宋体" w:cs="新宋体"/>
          <w:color w:val="auto"/>
          <w:sz w:val="22"/>
          <w:szCs w:val="22"/>
          <w:highlight w:val="none"/>
        </w:rPr>
      </w:pPr>
    </w:p>
    <w:p w14:paraId="36247486">
      <w:pPr>
        <w:pStyle w:val="9"/>
        <w:ind w:firstLine="440"/>
        <w:rPr>
          <w:rFonts w:hint="eastAsia" w:ascii="新宋体" w:hAnsi="新宋体" w:eastAsia="新宋体" w:cs="新宋体"/>
          <w:color w:val="auto"/>
          <w:sz w:val="22"/>
          <w:szCs w:val="22"/>
          <w:highlight w:val="none"/>
        </w:rPr>
      </w:pPr>
    </w:p>
    <w:p w14:paraId="75FC62F2">
      <w:pPr>
        <w:rPr>
          <w:rFonts w:hint="eastAsia" w:ascii="新宋体" w:hAnsi="新宋体" w:eastAsia="新宋体" w:cs="新宋体"/>
          <w:color w:val="auto"/>
          <w:sz w:val="22"/>
          <w:szCs w:val="22"/>
          <w:highlight w:val="none"/>
        </w:rPr>
      </w:pPr>
    </w:p>
    <w:p w14:paraId="1F29BB56">
      <w:pPr>
        <w:pStyle w:val="9"/>
        <w:ind w:firstLine="440"/>
        <w:rPr>
          <w:rFonts w:hint="eastAsia" w:ascii="新宋体" w:hAnsi="新宋体" w:eastAsia="新宋体" w:cs="新宋体"/>
          <w:color w:val="auto"/>
          <w:sz w:val="22"/>
          <w:szCs w:val="22"/>
          <w:highlight w:val="none"/>
        </w:rPr>
      </w:pPr>
    </w:p>
    <w:p w14:paraId="66850798">
      <w:pPr>
        <w:rPr>
          <w:rFonts w:hint="eastAsia" w:ascii="新宋体" w:hAnsi="新宋体" w:eastAsia="新宋体" w:cs="新宋体"/>
          <w:color w:val="auto"/>
          <w:sz w:val="22"/>
          <w:szCs w:val="22"/>
          <w:highlight w:val="none"/>
        </w:rPr>
      </w:pPr>
    </w:p>
    <w:p w14:paraId="1AD8704F">
      <w:pPr>
        <w:pStyle w:val="9"/>
        <w:ind w:firstLine="440"/>
        <w:rPr>
          <w:rFonts w:hint="eastAsia" w:ascii="新宋体" w:hAnsi="新宋体" w:eastAsia="新宋体" w:cs="新宋体"/>
          <w:color w:val="auto"/>
          <w:sz w:val="22"/>
          <w:szCs w:val="22"/>
          <w:highlight w:val="none"/>
        </w:rPr>
      </w:pPr>
    </w:p>
    <w:p w14:paraId="15A2AAA6">
      <w:pPr>
        <w:rPr>
          <w:rFonts w:hint="eastAsia" w:ascii="新宋体" w:hAnsi="新宋体" w:eastAsia="新宋体" w:cs="新宋体"/>
          <w:color w:val="auto"/>
          <w:sz w:val="22"/>
          <w:szCs w:val="22"/>
          <w:highlight w:val="none"/>
        </w:rPr>
      </w:pPr>
    </w:p>
    <w:p w14:paraId="3554E20C">
      <w:pPr>
        <w:pStyle w:val="9"/>
        <w:ind w:firstLine="440"/>
        <w:rPr>
          <w:rFonts w:hint="eastAsia" w:ascii="新宋体" w:hAnsi="新宋体" w:eastAsia="新宋体" w:cs="新宋体"/>
          <w:color w:val="auto"/>
          <w:sz w:val="22"/>
          <w:szCs w:val="22"/>
          <w:highlight w:val="none"/>
        </w:rPr>
      </w:pPr>
    </w:p>
    <w:p w14:paraId="2477C394">
      <w:pPr>
        <w:rPr>
          <w:rFonts w:hint="eastAsia" w:ascii="新宋体" w:hAnsi="新宋体" w:eastAsia="新宋体" w:cs="新宋体"/>
          <w:color w:val="auto"/>
          <w:highlight w:val="none"/>
        </w:rPr>
      </w:pPr>
    </w:p>
    <w:p w14:paraId="09D574D2">
      <w:pPr>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br w:type="page"/>
      </w:r>
    </w:p>
    <w:p w14:paraId="02940EE4">
      <w:pPr>
        <w:spacing w:line="380" w:lineRule="exact"/>
        <w:jc w:val="center"/>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lang w:val="en-US" w:eastAsia="zh-CN"/>
        </w:rPr>
        <w:t>5</w:t>
      </w:r>
      <w:r>
        <w:rPr>
          <w:rFonts w:hint="eastAsia" w:ascii="新宋体" w:hAnsi="新宋体" w:eastAsia="新宋体" w:cs="新宋体"/>
          <w:b/>
          <w:bCs/>
          <w:color w:val="auto"/>
          <w:sz w:val="28"/>
          <w:szCs w:val="28"/>
          <w:highlight w:val="none"/>
        </w:rPr>
        <w:t>、偏离表</w:t>
      </w:r>
      <w:r>
        <w:rPr>
          <w:rFonts w:hint="eastAsia" w:ascii="新宋体" w:hAnsi="新宋体" w:eastAsia="新宋体" w:cs="新宋体"/>
          <w:b/>
          <w:bCs/>
          <w:color w:val="auto"/>
          <w:sz w:val="28"/>
          <w:szCs w:val="28"/>
          <w:highlight w:val="none"/>
          <w:lang w:val="zh-CN"/>
        </w:rPr>
        <w:t>（</w:t>
      </w:r>
      <w:r>
        <w:rPr>
          <w:rFonts w:hint="eastAsia" w:ascii="新宋体" w:hAnsi="新宋体" w:eastAsia="新宋体" w:cs="新宋体"/>
          <w:b/>
          <w:bCs/>
          <w:color w:val="auto"/>
          <w:sz w:val="28"/>
          <w:szCs w:val="28"/>
          <w:highlight w:val="none"/>
        </w:rPr>
        <w:t>商务、技术偏离</w:t>
      </w:r>
      <w:r>
        <w:rPr>
          <w:rFonts w:hint="eastAsia" w:ascii="新宋体" w:hAnsi="新宋体" w:eastAsia="新宋体" w:cs="新宋体"/>
          <w:b/>
          <w:bCs/>
          <w:color w:val="auto"/>
          <w:sz w:val="28"/>
          <w:szCs w:val="28"/>
          <w:highlight w:val="none"/>
          <w:lang w:val="zh-CN"/>
        </w:rPr>
        <w:t>）</w:t>
      </w:r>
    </w:p>
    <w:p w14:paraId="3C41CCDA">
      <w:pPr>
        <w:spacing w:line="560" w:lineRule="exact"/>
        <w:jc w:val="center"/>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8"/>
          <w:highlight w:val="none"/>
        </w:rPr>
        <w:t>（根据招标文件中“项目技术规范和服务要求”逐项自行编制）</w:t>
      </w:r>
    </w:p>
    <w:p w14:paraId="3FB6BFEE">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6CB6904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544"/>
        <w:gridCol w:w="3402"/>
        <w:gridCol w:w="1843"/>
      </w:tblGrid>
      <w:tr w14:paraId="0D585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134" w:type="dxa"/>
            <w:shd w:val="clear" w:color="auto" w:fill="FFFFFF"/>
            <w:vAlign w:val="center"/>
          </w:tcPr>
          <w:p w14:paraId="4C2F4DA2">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序  号</w:t>
            </w:r>
          </w:p>
        </w:tc>
        <w:tc>
          <w:tcPr>
            <w:tcW w:w="3544" w:type="dxa"/>
            <w:shd w:val="clear" w:color="auto" w:fill="FFFFFF"/>
            <w:vAlign w:val="center"/>
          </w:tcPr>
          <w:p w14:paraId="15CEE793">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招标文件</w:t>
            </w:r>
          </w:p>
          <w:p w14:paraId="06D7C43D">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规格要求</w:t>
            </w:r>
          </w:p>
        </w:tc>
        <w:tc>
          <w:tcPr>
            <w:tcW w:w="3402" w:type="dxa"/>
            <w:shd w:val="clear" w:color="auto" w:fill="FFFFFF"/>
            <w:vAlign w:val="center"/>
          </w:tcPr>
          <w:p w14:paraId="2030B09D">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投标文件</w:t>
            </w:r>
          </w:p>
          <w:p w14:paraId="2AE4FAE9">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对应规格</w:t>
            </w:r>
          </w:p>
        </w:tc>
        <w:tc>
          <w:tcPr>
            <w:tcW w:w="1843" w:type="dxa"/>
            <w:shd w:val="clear" w:color="auto" w:fill="FFFFFF"/>
            <w:vAlign w:val="center"/>
          </w:tcPr>
          <w:p w14:paraId="4041BF7A">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   明</w:t>
            </w:r>
          </w:p>
          <w:p w14:paraId="09AA2E48">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（偏离情况）</w:t>
            </w:r>
          </w:p>
        </w:tc>
      </w:tr>
      <w:tr w14:paraId="340C5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1134" w:type="dxa"/>
            <w:vAlign w:val="center"/>
          </w:tcPr>
          <w:p w14:paraId="74FCEAF4">
            <w:pPr>
              <w:ind w:firstLine="220" w:firstLineChars="1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3544" w:type="dxa"/>
            <w:vAlign w:val="center"/>
          </w:tcPr>
          <w:p w14:paraId="4143CD06">
            <w:pPr>
              <w:jc w:val="center"/>
              <w:rPr>
                <w:rFonts w:hint="eastAsia" w:ascii="新宋体" w:hAnsi="新宋体" w:eastAsia="新宋体" w:cs="新宋体"/>
                <w:color w:val="auto"/>
                <w:sz w:val="22"/>
                <w:szCs w:val="22"/>
                <w:highlight w:val="none"/>
              </w:rPr>
            </w:pPr>
          </w:p>
        </w:tc>
        <w:tc>
          <w:tcPr>
            <w:tcW w:w="3402" w:type="dxa"/>
            <w:vAlign w:val="center"/>
          </w:tcPr>
          <w:p w14:paraId="7DBBF83C">
            <w:pPr>
              <w:jc w:val="center"/>
              <w:rPr>
                <w:rFonts w:hint="eastAsia" w:ascii="新宋体" w:hAnsi="新宋体" w:eastAsia="新宋体" w:cs="新宋体"/>
                <w:color w:val="auto"/>
                <w:sz w:val="22"/>
                <w:szCs w:val="22"/>
                <w:highlight w:val="none"/>
              </w:rPr>
            </w:pPr>
          </w:p>
        </w:tc>
        <w:tc>
          <w:tcPr>
            <w:tcW w:w="1843" w:type="dxa"/>
            <w:vAlign w:val="center"/>
          </w:tcPr>
          <w:p w14:paraId="2B320629">
            <w:pPr>
              <w:jc w:val="center"/>
              <w:rPr>
                <w:rFonts w:hint="eastAsia" w:ascii="新宋体" w:hAnsi="新宋体" w:eastAsia="新宋体" w:cs="新宋体"/>
                <w:color w:val="auto"/>
                <w:sz w:val="22"/>
                <w:szCs w:val="22"/>
                <w:highlight w:val="none"/>
              </w:rPr>
            </w:pPr>
          </w:p>
        </w:tc>
      </w:tr>
      <w:tr w14:paraId="764B2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51756549">
            <w:pPr>
              <w:jc w:val="center"/>
              <w:rPr>
                <w:rFonts w:hint="eastAsia" w:ascii="新宋体" w:hAnsi="新宋体" w:eastAsia="新宋体" w:cs="新宋体"/>
                <w:color w:val="auto"/>
                <w:sz w:val="22"/>
                <w:szCs w:val="22"/>
                <w:highlight w:val="none"/>
              </w:rPr>
            </w:pPr>
          </w:p>
        </w:tc>
        <w:tc>
          <w:tcPr>
            <w:tcW w:w="3544" w:type="dxa"/>
            <w:vAlign w:val="center"/>
          </w:tcPr>
          <w:p w14:paraId="107E9169">
            <w:pPr>
              <w:jc w:val="center"/>
              <w:rPr>
                <w:rFonts w:hint="eastAsia" w:ascii="新宋体" w:hAnsi="新宋体" w:eastAsia="新宋体" w:cs="新宋体"/>
                <w:color w:val="auto"/>
                <w:sz w:val="22"/>
                <w:szCs w:val="22"/>
                <w:highlight w:val="none"/>
              </w:rPr>
            </w:pPr>
          </w:p>
        </w:tc>
        <w:tc>
          <w:tcPr>
            <w:tcW w:w="3402" w:type="dxa"/>
            <w:vAlign w:val="center"/>
          </w:tcPr>
          <w:p w14:paraId="39E8DE19">
            <w:pPr>
              <w:jc w:val="center"/>
              <w:rPr>
                <w:rFonts w:hint="eastAsia" w:ascii="新宋体" w:hAnsi="新宋体" w:eastAsia="新宋体" w:cs="新宋体"/>
                <w:color w:val="auto"/>
                <w:sz w:val="22"/>
                <w:szCs w:val="22"/>
                <w:highlight w:val="none"/>
              </w:rPr>
            </w:pPr>
          </w:p>
        </w:tc>
        <w:tc>
          <w:tcPr>
            <w:tcW w:w="1843" w:type="dxa"/>
            <w:vAlign w:val="center"/>
          </w:tcPr>
          <w:p w14:paraId="07929727">
            <w:pPr>
              <w:jc w:val="center"/>
              <w:rPr>
                <w:rFonts w:hint="eastAsia" w:ascii="新宋体" w:hAnsi="新宋体" w:eastAsia="新宋体" w:cs="新宋体"/>
                <w:color w:val="auto"/>
                <w:sz w:val="22"/>
                <w:szCs w:val="22"/>
                <w:highlight w:val="none"/>
              </w:rPr>
            </w:pPr>
          </w:p>
        </w:tc>
      </w:tr>
      <w:tr w14:paraId="7B4E6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33B8E987">
            <w:pPr>
              <w:jc w:val="center"/>
              <w:rPr>
                <w:rFonts w:hint="eastAsia" w:ascii="新宋体" w:hAnsi="新宋体" w:eastAsia="新宋体" w:cs="新宋体"/>
                <w:color w:val="auto"/>
                <w:sz w:val="22"/>
                <w:szCs w:val="22"/>
                <w:highlight w:val="none"/>
              </w:rPr>
            </w:pPr>
          </w:p>
        </w:tc>
        <w:tc>
          <w:tcPr>
            <w:tcW w:w="3544" w:type="dxa"/>
            <w:vAlign w:val="center"/>
          </w:tcPr>
          <w:p w14:paraId="728F8872">
            <w:pPr>
              <w:jc w:val="center"/>
              <w:rPr>
                <w:rFonts w:hint="eastAsia" w:ascii="新宋体" w:hAnsi="新宋体" w:eastAsia="新宋体" w:cs="新宋体"/>
                <w:color w:val="auto"/>
                <w:sz w:val="22"/>
                <w:szCs w:val="22"/>
                <w:highlight w:val="none"/>
              </w:rPr>
            </w:pPr>
          </w:p>
        </w:tc>
        <w:tc>
          <w:tcPr>
            <w:tcW w:w="3402" w:type="dxa"/>
            <w:vAlign w:val="center"/>
          </w:tcPr>
          <w:p w14:paraId="30B2DB14">
            <w:pPr>
              <w:jc w:val="center"/>
              <w:rPr>
                <w:rFonts w:hint="eastAsia" w:ascii="新宋体" w:hAnsi="新宋体" w:eastAsia="新宋体" w:cs="新宋体"/>
                <w:color w:val="auto"/>
                <w:sz w:val="22"/>
                <w:szCs w:val="22"/>
                <w:highlight w:val="none"/>
              </w:rPr>
            </w:pPr>
          </w:p>
        </w:tc>
        <w:tc>
          <w:tcPr>
            <w:tcW w:w="1843" w:type="dxa"/>
            <w:vAlign w:val="center"/>
          </w:tcPr>
          <w:p w14:paraId="61D4E360">
            <w:pPr>
              <w:jc w:val="center"/>
              <w:rPr>
                <w:rFonts w:hint="eastAsia" w:ascii="新宋体" w:hAnsi="新宋体" w:eastAsia="新宋体" w:cs="新宋体"/>
                <w:color w:val="auto"/>
                <w:sz w:val="22"/>
                <w:szCs w:val="22"/>
                <w:highlight w:val="none"/>
              </w:rPr>
            </w:pPr>
          </w:p>
        </w:tc>
      </w:tr>
      <w:tr w14:paraId="2B65D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4C5D325C">
            <w:pPr>
              <w:jc w:val="center"/>
              <w:rPr>
                <w:rFonts w:hint="eastAsia" w:ascii="新宋体" w:hAnsi="新宋体" w:eastAsia="新宋体" w:cs="新宋体"/>
                <w:color w:val="auto"/>
                <w:sz w:val="22"/>
                <w:szCs w:val="22"/>
                <w:highlight w:val="none"/>
              </w:rPr>
            </w:pPr>
          </w:p>
        </w:tc>
        <w:tc>
          <w:tcPr>
            <w:tcW w:w="3544" w:type="dxa"/>
            <w:vAlign w:val="center"/>
          </w:tcPr>
          <w:p w14:paraId="4C4301E4">
            <w:pPr>
              <w:jc w:val="center"/>
              <w:rPr>
                <w:rFonts w:hint="eastAsia" w:ascii="新宋体" w:hAnsi="新宋体" w:eastAsia="新宋体" w:cs="新宋体"/>
                <w:color w:val="auto"/>
                <w:sz w:val="22"/>
                <w:szCs w:val="22"/>
                <w:highlight w:val="none"/>
              </w:rPr>
            </w:pPr>
          </w:p>
        </w:tc>
        <w:tc>
          <w:tcPr>
            <w:tcW w:w="3402" w:type="dxa"/>
            <w:vAlign w:val="center"/>
          </w:tcPr>
          <w:p w14:paraId="7DBC1330">
            <w:pPr>
              <w:jc w:val="center"/>
              <w:rPr>
                <w:rFonts w:hint="eastAsia" w:ascii="新宋体" w:hAnsi="新宋体" w:eastAsia="新宋体" w:cs="新宋体"/>
                <w:color w:val="auto"/>
                <w:sz w:val="22"/>
                <w:szCs w:val="22"/>
                <w:highlight w:val="none"/>
              </w:rPr>
            </w:pPr>
          </w:p>
        </w:tc>
        <w:tc>
          <w:tcPr>
            <w:tcW w:w="1843" w:type="dxa"/>
            <w:vAlign w:val="center"/>
          </w:tcPr>
          <w:p w14:paraId="00EBED80">
            <w:pPr>
              <w:jc w:val="center"/>
              <w:rPr>
                <w:rFonts w:hint="eastAsia" w:ascii="新宋体" w:hAnsi="新宋体" w:eastAsia="新宋体" w:cs="新宋体"/>
                <w:color w:val="auto"/>
                <w:sz w:val="22"/>
                <w:szCs w:val="22"/>
                <w:highlight w:val="none"/>
              </w:rPr>
            </w:pPr>
          </w:p>
        </w:tc>
      </w:tr>
      <w:tr w14:paraId="76870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7E530E00">
            <w:pPr>
              <w:jc w:val="center"/>
              <w:rPr>
                <w:rFonts w:hint="eastAsia" w:ascii="新宋体" w:hAnsi="新宋体" w:eastAsia="新宋体" w:cs="新宋体"/>
                <w:color w:val="auto"/>
                <w:sz w:val="22"/>
                <w:szCs w:val="22"/>
                <w:highlight w:val="none"/>
              </w:rPr>
            </w:pPr>
          </w:p>
        </w:tc>
        <w:tc>
          <w:tcPr>
            <w:tcW w:w="3544" w:type="dxa"/>
            <w:vAlign w:val="center"/>
          </w:tcPr>
          <w:p w14:paraId="3AA12B59">
            <w:pPr>
              <w:jc w:val="center"/>
              <w:rPr>
                <w:rFonts w:hint="eastAsia" w:ascii="新宋体" w:hAnsi="新宋体" w:eastAsia="新宋体" w:cs="新宋体"/>
                <w:color w:val="auto"/>
                <w:sz w:val="22"/>
                <w:szCs w:val="22"/>
                <w:highlight w:val="none"/>
              </w:rPr>
            </w:pPr>
          </w:p>
        </w:tc>
        <w:tc>
          <w:tcPr>
            <w:tcW w:w="3402" w:type="dxa"/>
            <w:vAlign w:val="center"/>
          </w:tcPr>
          <w:p w14:paraId="0FD85811">
            <w:pPr>
              <w:jc w:val="center"/>
              <w:rPr>
                <w:rFonts w:hint="eastAsia" w:ascii="新宋体" w:hAnsi="新宋体" w:eastAsia="新宋体" w:cs="新宋体"/>
                <w:color w:val="auto"/>
                <w:sz w:val="22"/>
                <w:szCs w:val="22"/>
                <w:highlight w:val="none"/>
              </w:rPr>
            </w:pPr>
          </w:p>
        </w:tc>
        <w:tc>
          <w:tcPr>
            <w:tcW w:w="1843" w:type="dxa"/>
            <w:vAlign w:val="center"/>
          </w:tcPr>
          <w:p w14:paraId="15160367">
            <w:pPr>
              <w:jc w:val="center"/>
              <w:rPr>
                <w:rFonts w:hint="eastAsia" w:ascii="新宋体" w:hAnsi="新宋体" w:eastAsia="新宋体" w:cs="新宋体"/>
                <w:color w:val="auto"/>
                <w:sz w:val="22"/>
                <w:szCs w:val="22"/>
                <w:highlight w:val="none"/>
              </w:rPr>
            </w:pPr>
          </w:p>
        </w:tc>
      </w:tr>
      <w:tr w14:paraId="76444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03E4F8B4">
            <w:pPr>
              <w:ind w:firstLine="220" w:firstLineChars="1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3544" w:type="dxa"/>
            <w:vAlign w:val="center"/>
          </w:tcPr>
          <w:p w14:paraId="444216F7">
            <w:pPr>
              <w:jc w:val="center"/>
              <w:rPr>
                <w:rFonts w:hint="eastAsia" w:ascii="新宋体" w:hAnsi="新宋体" w:eastAsia="新宋体" w:cs="新宋体"/>
                <w:color w:val="auto"/>
                <w:sz w:val="22"/>
                <w:szCs w:val="22"/>
                <w:highlight w:val="none"/>
              </w:rPr>
            </w:pPr>
          </w:p>
        </w:tc>
        <w:tc>
          <w:tcPr>
            <w:tcW w:w="3402" w:type="dxa"/>
            <w:vAlign w:val="center"/>
          </w:tcPr>
          <w:p w14:paraId="292D0C3D">
            <w:pPr>
              <w:jc w:val="center"/>
              <w:rPr>
                <w:rFonts w:hint="eastAsia" w:ascii="新宋体" w:hAnsi="新宋体" w:eastAsia="新宋体" w:cs="新宋体"/>
                <w:color w:val="auto"/>
                <w:sz w:val="22"/>
                <w:szCs w:val="22"/>
                <w:highlight w:val="none"/>
              </w:rPr>
            </w:pPr>
          </w:p>
        </w:tc>
        <w:tc>
          <w:tcPr>
            <w:tcW w:w="1843" w:type="dxa"/>
            <w:vAlign w:val="center"/>
          </w:tcPr>
          <w:p w14:paraId="051B503D">
            <w:pPr>
              <w:jc w:val="center"/>
              <w:rPr>
                <w:rFonts w:hint="eastAsia" w:ascii="新宋体" w:hAnsi="新宋体" w:eastAsia="新宋体" w:cs="新宋体"/>
                <w:color w:val="auto"/>
                <w:sz w:val="22"/>
                <w:szCs w:val="22"/>
                <w:highlight w:val="none"/>
              </w:rPr>
            </w:pPr>
          </w:p>
        </w:tc>
      </w:tr>
      <w:tr w14:paraId="2FE98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03C28A51">
            <w:pPr>
              <w:jc w:val="center"/>
              <w:rPr>
                <w:rFonts w:hint="eastAsia" w:ascii="新宋体" w:hAnsi="新宋体" w:eastAsia="新宋体" w:cs="新宋体"/>
                <w:color w:val="auto"/>
                <w:sz w:val="22"/>
                <w:szCs w:val="22"/>
                <w:highlight w:val="none"/>
              </w:rPr>
            </w:pPr>
          </w:p>
        </w:tc>
        <w:tc>
          <w:tcPr>
            <w:tcW w:w="3544" w:type="dxa"/>
            <w:vAlign w:val="center"/>
          </w:tcPr>
          <w:p w14:paraId="471C2F30">
            <w:pPr>
              <w:jc w:val="center"/>
              <w:rPr>
                <w:rFonts w:hint="eastAsia" w:ascii="新宋体" w:hAnsi="新宋体" w:eastAsia="新宋体" w:cs="新宋体"/>
                <w:color w:val="auto"/>
                <w:sz w:val="22"/>
                <w:szCs w:val="22"/>
                <w:highlight w:val="none"/>
              </w:rPr>
            </w:pPr>
          </w:p>
        </w:tc>
        <w:tc>
          <w:tcPr>
            <w:tcW w:w="3402" w:type="dxa"/>
            <w:vAlign w:val="center"/>
          </w:tcPr>
          <w:p w14:paraId="37CF27A3">
            <w:pPr>
              <w:jc w:val="center"/>
              <w:rPr>
                <w:rFonts w:hint="eastAsia" w:ascii="新宋体" w:hAnsi="新宋体" w:eastAsia="新宋体" w:cs="新宋体"/>
                <w:color w:val="auto"/>
                <w:sz w:val="22"/>
                <w:szCs w:val="22"/>
                <w:highlight w:val="none"/>
              </w:rPr>
            </w:pPr>
          </w:p>
        </w:tc>
        <w:tc>
          <w:tcPr>
            <w:tcW w:w="1843" w:type="dxa"/>
            <w:vAlign w:val="center"/>
          </w:tcPr>
          <w:p w14:paraId="785894C0">
            <w:pPr>
              <w:jc w:val="center"/>
              <w:rPr>
                <w:rFonts w:hint="eastAsia" w:ascii="新宋体" w:hAnsi="新宋体" w:eastAsia="新宋体" w:cs="新宋体"/>
                <w:color w:val="auto"/>
                <w:sz w:val="22"/>
                <w:szCs w:val="22"/>
                <w:highlight w:val="none"/>
              </w:rPr>
            </w:pPr>
          </w:p>
        </w:tc>
      </w:tr>
      <w:tr w14:paraId="5041E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205346F4">
            <w:pPr>
              <w:jc w:val="center"/>
              <w:rPr>
                <w:rFonts w:hint="eastAsia" w:ascii="新宋体" w:hAnsi="新宋体" w:eastAsia="新宋体" w:cs="新宋体"/>
                <w:color w:val="auto"/>
                <w:sz w:val="22"/>
                <w:szCs w:val="22"/>
                <w:highlight w:val="none"/>
              </w:rPr>
            </w:pPr>
          </w:p>
        </w:tc>
        <w:tc>
          <w:tcPr>
            <w:tcW w:w="3544" w:type="dxa"/>
            <w:vAlign w:val="center"/>
          </w:tcPr>
          <w:p w14:paraId="5D181BB0">
            <w:pPr>
              <w:jc w:val="center"/>
              <w:rPr>
                <w:rFonts w:hint="eastAsia" w:ascii="新宋体" w:hAnsi="新宋体" w:eastAsia="新宋体" w:cs="新宋体"/>
                <w:color w:val="auto"/>
                <w:sz w:val="22"/>
                <w:szCs w:val="22"/>
                <w:highlight w:val="none"/>
              </w:rPr>
            </w:pPr>
          </w:p>
        </w:tc>
        <w:tc>
          <w:tcPr>
            <w:tcW w:w="3402" w:type="dxa"/>
            <w:vAlign w:val="center"/>
          </w:tcPr>
          <w:p w14:paraId="739B0906">
            <w:pPr>
              <w:jc w:val="center"/>
              <w:rPr>
                <w:rFonts w:hint="eastAsia" w:ascii="新宋体" w:hAnsi="新宋体" w:eastAsia="新宋体" w:cs="新宋体"/>
                <w:color w:val="auto"/>
                <w:sz w:val="22"/>
                <w:szCs w:val="22"/>
                <w:highlight w:val="none"/>
              </w:rPr>
            </w:pPr>
          </w:p>
        </w:tc>
        <w:tc>
          <w:tcPr>
            <w:tcW w:w="1843" w:type="dxa"/>
            <w:vAlign w:val="center"/>
          </w:tcPr>
          <w:p w14:paraId="4A73C161">
            <w:pPr>
              <w:jc w:val="center"/>
              <w:rPr>
                <w:rFonts w:hint="eastAsia" w:ascii="新宋体" w:hAnsi="新宋体" w:eastAsia="新宋体" w:cs="新宋体"/>
                <w:color w:val="auto"/>
                <w:sz w:val="22"/>
                <w:szCs w:val="22"/>
                <w:highlight w:val="none"/>
              </w:rPr>
            </w:pPr>
          </w:p>
        </w:tc>
      </w:tr>
      <w:tr w14:paraId="5CB75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24DCBDAC">
            <w:pPr>
              <w:jc w:val="center"/>
              <w:rPr>
                <w:rFonts w:hint="eastAsia" w:ascii="新宋体" w:hAnsi="新宋体" w:eastAsia="新宋体" w:cs="新宋体"/>
                <w:color w:val="auto"/>
                <w:sz w:val="22"/>
                <w:szCs w:val="22"/>
                <w:highlight w:val="none"/>
              </w:rPr>
            </w:pPr>
          </w:p>
        </w:tc>
        <w:tc>
          <w:tcPr>
            <w:tcW w:w="3544" w:type="dxa"/>
            <w:vAlign w:val="center"/>
          </w:tcPr>
          <w:p w14:paraId="42318EDA">
            <w:pPr>
              <w:jc w:val="center"/>
              <w:rPr>
                <w:rFonts w:hint="eastAsia" w:ascii="新宋体" w:hAnsi="新宋体" w:eastAsia="新宋体" w:cs="新宋体"/>
                <w:color w:val="auto"/>
                <w:sz w:val="22"/>
                <w:szCs w:val="22"/>
                <w:highlight w:val="none"/>
              </w:rPr>
            </w:pPr>
          </w:p>
        </w:tc>
        <w:tc>
          <w:tcPr>
            <w:tcW w:w="3402" w:type="dxa"/>
            <w:vAlign w:val="center"/>
          </w:tcPr>
          <w:p w14:paraId="38596763">
            <w:pPr>
              <w:jc w:val="center"/>
              <w:rPr>
                <w:rFonts w:hint="eastAsia" w:ascii="新宋体" w:hAnsi="新宋体" w:eastAsia="新宋体" w:cs="新宋体"/>
                <w:color w:val="auto"/>
                <w:sz w:val="22"/>
                <w:szCs w:val="22"/>
                <w:highlight w:val="none"/>
              </w:rPr>
            </w:pPr>
          </w:p>
        </w:tc>
        <w:tc>
          <w:tcPr>
            <w:tcW w:w="1843" w:type="dxa"/>
            <w:vAlign w:val="center"/>
          </w:tcPr>
          <w:p w14:paraId="09EA604A">
            <w:pPr>
              <w:jc w:val="center"/>
              <w:rPr>
                <w:rFonts w:hint="eastAsia" w:ascii="新宋体" w:hAnsi="新宋体" w:eastAsia="新宋体" w:cs="新宋体"/>
                <w:color w:val="auto"/>
                <w:sz w:val="22"/>
                <w:szCs w:val="22"/>
                <w:highlight w:val="none"/>
              </w:rPr>
            </w:pPr>
          </w:p>
        </w:tc>
      </w:tr>
      <w:tr w14:paraId="0FE63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20353C6D">
            <w:pPr>
              <w:jc w:val="center"/>
              <w:rPr>
                <w:rFonts w:hint="eastAsia" w:ascii="新宋体" w:hAnsi="新宋体" w:eastAsia="新宋体" w:cs="新宋体"/>
                <w:color w:val="auto"/>
                <w:sz w:val="22"/>
                <w:szCs w:val="22"/>
                <w:highlight w:val="none"/>
              </w:rPr>
            </w:pPr>
          </w:p>
        </w:tc>
        <w:tc>
          <w:tcPr>
            <w:tcW w:w="3544" w:type="dxa"/>
            <w:vAlign w:val="center"/>
          </w:tcPr>
          <w:p w14:paraId="4B758838">
            <w:pPr>
              <w:jc w:val="center"/>
              <w:rPr>
                <w:rFonts w:hint="eastAsia" w:ascii="新宋体" w:hAnsi="新宋体" w:eastAsia="新宋体" w:cs="新宋体"/>
                <w:color w:val="auto"/>
                <w:sz w:val="22"/>
                <w:szCs w:val="22"/>
                <w:highlight w:val="none"/>
              </w:rPr>
            </w:pPr>
          </w:p>
        </w:tc>
        <w:tc>
          <w:tcPr>
            <w:tcW w:w="3402" w:type="dxa"/>
            <w:vAlign w:val="center"/>
          </w:tcPr>
          <w:p w14:paraId="0454C21F">
            <w:pPr>
              <w:jc w:val="center"/>
              <w:rPr>
                <w:rFonts w:hint="eastAsia" w:ascii="新宋体" w:hAnsi="新宋体" w:eastAsia="新宋体" w:cs="新宋体"/>
                <w:color w:val="auto"/>
                <w:sz w:val="22"/>
                <w:szCs w:val="22"/>
                <w:highlight w:val="none"/>
              </w:rPr>
            </w:pPr>
          </w:p>
        </w:tc>
        <w:tc>
          <w:tcPr>
            <w:tcW w:w="1843" w:type="dxa"/>
            <w:vAlign w:val="center"/>
          </w:tcPr>
          <w:p w14:paraId="526ADB7B">
            <w:pPr>
              <w:jc w:val="center"/>
              <w:rPr>
                <w:rFonts w:hint="eastAsia" w:ascii="新宋体" w:hAnsi="新宋体" w:eastAsia="新宋体" w:cs="新宋体"/>
                <w:color w:val="auto"/>
                <w:sz w:val="22"/>
                <w:szCs w:val="22"/>
                <w:highlight w:val="none"/>
              </w:rPr>
            </w:pPr>
          </w:p>
        </w:tc>
      </w:tr>
    </w:tbl>
    <w:p w14:paraId="04983D46">
      <w:pPr>
        <w:pStyle w:val="30"/>
        <w:keepNext w:val="0"/>
        <w:keepLines w:val="0"/>
        <w:pageBreakBefore w:val="0"/>
        <w:kinsoku/>
        <w:wordWrap/>
        <w:topLinePunct w:val="0"/>
        <w:bidi w:val="0"/>
        <w:snapToGrid/>
        <w:spacing w:line="460" w:lineRule="exact"/>
        <w:ind w:left="537" w:hanging="537" w:hangingChars="243"/>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注：如有偏离，必须在偏离表中进行详细对比说明并注明正偏离（负偏离），如不说明偏离情况，视为完全响应招标文件要求无偏离。</w:t>
      </w:r>
    </w:p>
    <w:p w14:paraId="3A1759E8">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41A4C52E">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3BCF98C9">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日   期：</w:t>
      </w:r>
    </w:p>
    <w:p w14:paraId="596FB2BC">
      <w:pPr>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br w:type="page"/>
      </w:r>
    </w:p>
    <w:p w14:paraId="3B2D9FA5">
      <w:pPr>
        <w:jc w:val="center"/>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6</w:t>
      </w:r>
      <w:r>
        <w:rPr>
          <w:rFonts w:hint="eastAsia" w:ascii="新宋体" w:hAnsi="新宋体" w:eastAsia="新宋体" w:cs="新宋体"/>
          <w:b/>
          <w:bCs/>
          <w:color w:val="auto"/>
          <w:sz w:val="28"/>
          <w:szCs w:val="28"/>
          <w:highlight w:val="none"/>
        </w:rPr>
        <w:t>、</w:t>
      </w:r>
      <w:r>
        <w:rPr>
          <w:rFonts w:hint="eastAsia" w:ascii="新宋体" w:hAnsi="新宋体" w:eastAsia="新宋体" w:cs="新宋体"/>
          <w:b/>
          <w:bCs/>
          <w:color w:val="auto"/>
          <w:sz w:val="28"/>
          <w:szCs w:val="28"/>
          <w:highlight w:val="none"/>
          <w:lang w:val="en-US" w:eastAsia="zh-CN"/>
        </w:rPr>
        <w:t>其他必要提供的资料</w:t>
      </w:r>
    </w:p>
    <w:p w14:paraId="69B9E7A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46E07B3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1"/>
      </w:tblGrid>
      <w:tr w14:paraId="02DDF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1" w:hRule="atLeast"/>
          <w:jc w:val="center"/>
        </w:trPr>
        <w:tc>
          <w:tcPr>
            <w:tcW w:w="9181" w:type="dxa"/>
            <w:vAlign w:val="top"/>
          </w:tcPr>
          <w:p w14:paraId="710E7B70">
            <w:pPr>
              <w:pStyle w:val="313"/>
              <w:keepNext/>
              <w:keepLines w:val="0"/>
              <w:pageBreakBefore w:val="0"/>
              <w:widowControl w:val="0"/>
              <w:kinsoku/>
              <w:wordWrap/>
              <w:overflowPunct/>
              <w:topLinePunct w:val="0"/>
              <w:autoSpaceDE/>
              <w:autoSpaceDN/>
              <w:bidi w:val="0"/>
              <w:adjustRightInd/>
              <w:snapToGrid/>
              <w:spacing w:after="0" w:line="460" w:lineRule="exact"/>
              <w:jc w:val="center"/>
              <w:textAlignment w:val="auto"/>
              <w:rPr>
                <w:rFonts w:hint="eastAsia" w:ascii="新宋体" w:hAnsi="新宋体" w:eastAsia="新宋体" w:cs="新宋体"/>
                <w:color w:val="auto"/>
                <w:highlight w:val="none"/>
              </w:rPr>
            </w:pPr>
            <w:r>
              <w:rPr>
                <w:rFonts w:hint="eastAsia" w:ascii="新宋体" w:hAnsi="新宋体" w:eastAsia="新宋体" w:cs="新宋体"/>
                <w:b/>
                <w:bCs/>
                <w:color w:val="auto"/>
                <w:sz w:val="22"/>
                <w:szCs w:val="22"/>
                <w:highlight w:val="none"/>
                <w:u w:val="single"/>
                <w:lang w:val="en-US" w:eastAsia="zh-CN"/>
              </w:rPr>
              <w:t>根据</w:t>
            </w:r>
            <w:r>
              <w:rPr>
                <w:rFonts w:hint="eastAsia" w:ascii="新宋体" w:hAnsi="新宋体" w:eastAsia="新宋体" w:cs="新宋体"/>
                <w:b/>
                <w:bCs/>
                <w:color w:val="auto"/>
                <w:sz w:val="22"/>
                <w:szCs w:val="22"/>
                <w:highlight w:val="none"/>
                <w:u w:val="single"/>
              </w:rPr>
              <w:t>评标标准</w:t>
            </w:r>
            <w:r>
              <w:rPr>
                <w:rFonts w:hint="eastAsia" w:ascii="新宋体" w:hAnsi="新宋体" w:eastAsia="新宋体" w:cs="新宋体"/>
                <w:b/>
                <w:bCs/>
                <w:color w:val="auto"/>
                <w:sz w:val="22"/>
                <w:szCs w:val="22"/>
                <w:highlight w:val="none"/>
                <w:u w:val="single"/>
                <w:lang w:val="en-US" w:eastAsia="zh-CN"/>
              </w:rPr>
              <w:t>自行提供</w:t>
            </w:r>
          </w:p>
        </w:tc>
      </w:tr>
    </w:tbl>
    <w:p w14:paraId="1B945FA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8"/>
          <w:highlight w:val="none"/>
        </w:rPr>
        <w:t xml:space="preserve">  </w:t>
      </w:r>
    </w:p>
    <w:p w14:paraId="2960CB7D">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366C48B1">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18AA7AEF">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日   期：</w:t>
      </w:r>
    </w:p>
    <w:p w14:paraId="611FB33C">
      <w:pPr>
        <w:pStyle w:val="23"/>
        <w:spacing w:line="460" w:lineRule="exact"/>
        <w:ind w:left="0" w:leftChars="0"/>
        <w:jc w:val="center"/>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31" w:name="_Toc16037"/>
      <w:r>
        <w:rPr>
          <w:rFonts w:hint="eastAsia" w:ascii="新宋体" w:hAnsi="新宋体" w:eastAsia="新宋体" w:cs="新宋体"/>
          <w:b/>
          <w:color w:val="auto"/>
          <w:sz w:val="30"/>
          <w:highlight w:val="none"/>
        </w:rPr>
        <w:t>第四部分   项目技术规范和服务要求</w:t>
      </w:r>
      <w:bookmarkEnd w:id="31"/>
    </w:p>
    <w:p w14:paraId="7EBB3224">
      <w:pPr>
        <w:keepNext w:val="0"/>
        <w:keepLines w:val="0"/>
        <w:pageBreakBefore w:val="0"/>
        <w:widowControl w:val="0"/>
        <w:kinsoku/>
        <w:wordWrap/>
        <w:overflowPunct/>
        <w:topLinePunct w:val="0"/>
        <w:autoSpaceDE/>
        <w:autoSpaceDN/>
        <w:bidi w:val="0"/>
        <w:adjustRightInd/>
        <w:snapToGrid/>
        <w:spacing w:line="460" w:lineRule="atLeast"/>
        <w:jc w:val="both"/>
        <w:textAlignment w:val="auto"/>
        <w:outlineLvl w:val="9"/>
        <w:rPr>
          <w:rFonts w:hint="eastAsia" w:ascii="新宋体" w:hAnsi="新宋体" w:eastAsia="新宋体" w:cs="新宋体"/>
          <w:b/>
          <w:bCs/>
          <w:color w:val="auto"/>
          <w:sz w:val="24"/>
          <w:szCs w:val="24"/>
          <w:highlight w:val="none"/>
        </w:rPr>
      </w:pPr>
      <w:bookmarkStart w:id="32" w:name="_Toc7205"/>
      <w:bookmarkStart w:id="33" w:name="_Toc28342713"/>
      <w:bookmarkStart w:id="34" w:name="_Toc469131330"/>
      <w:bookmarkStart w:id="35" w:name="_Toc4305"/>
      <w:bookmarkStart w:id="36" w:name="_Toc36800822"/>
      <w:bookmarkStart w:id="37" w:name="_Toc15714562"/>
      <w:bookmarkStart w:id="38" w:name="_Toc13563419"/>
      <w:bookmarkStart w:id="39" w:name="_Toc4093"/>
      <w:bookmarkStart w:id="40" w:name="_Toc8644"/>
      <w:bookmarkStart w:id="41" w:name="_Toc6092"/>
      <w:bookmarkStart w:id="42" w:name="_Toc4086635"/>
      <w:bookmarkStart w:id="43" w:name="_Toc16334"/>
      <w:bookmarkStart w:id="44" w:name="_Toc3270"/>
      <w:bookmarkStart w:id="45" w:name="_Toc421288210"/>
      <w:bookmarkStart w:id="46" w:name="_Toc467317695"/>
      <w:r>
        <w:rPr>
          <w:rFonts w:hint="eastAsia" w:ascii="新宋体" w:hAnsi="新宋体" w:eastAsia="新宋体" w:cs="新宋体"/>
          <w:b/>
          <w:bCs/>
          <w:color w:val="auto"/>
          <w:sz w:val="24"/>
          <w:szCs w:val="24"/>
          <w:highlight w:val="none"/>
        </w:rPr>
        <w:t>一、概述</w:t>
      </w:r>
      <w:bookmarkEnd w:id="32"/>
      <w:bookmarkEnd w:id="33"/>
      <w:bookmarkEnd w:id="34"/>
      <w:bookmarkEnd w:id="35"/>
      <w:bookmarkEnd w:id="36"/>
      <w:bookmarkEnd w:id="37"/>
    </w:p>
    <w:p w14:paraId="62F1E05A">
      <w:pPr>
        <w:keepNext w:val="0"/>
        <w:keepLines w:val="0"/>
        <w:pageBreakBefore w:val="0"/>
        <w:widowControl w:val="0"/>
        <w:tabs>
          <w:tab w:val="left" w:pos="360"/>
        </w:tabs>
        <w:kinsoku/>
        <w:wordWrap/>
        <w:overflowPunct/>
        <w:topLinePunct w:val="0"/>
        <w:autoSpaceDE/>
        <w:autoSpaceDN/>
        <w:bidi w:val="0"/>
        <w:spacing w:line="460" w:lineRule="exact"/>
        <w:ind w:left="0" w:leftChars="0"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此份招标内容及技术要求书是招标文件的一部分，包括所有条款的具体说明及技术要求，投标人需在各自技术和商务占优势的基础上对本次招标服务进行投标报价。</w:t>
      </w:r>
    </w:p>
    <w:p w14:paraId="3884B621">
      <w:pPr>
        <w:keepNext w:val="0"/>
        <w:keepLines w:val="0"/>
        <w:pageBreakBefore w:val="0"/>
        <w:widowControl w:val="0"/>
        <w:tabs>
          <w:tab w:val="left" w:pos="360"/>
        </w:tabs>
        <w:kinsoku/>
        <w:wordWrap/>
        <w:overflowPunct/>
        <w:topLinePunct w:val="0"/>
        <w:autoSpaceDE/>
        <w:autoSpaceDN/>
        <w:bidi w:val="0"/>
        <w:spacing w:line="460" w:lineRule="exact"/>
        <w:ind w:left="0" w:leftChars="0"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本次采购内容为温州市第七人民医院所需布草洗涤服务。</w:t>
      </w:r>
    </w:p>
    <w:p w14:paraId="59BFA437">
      <w:pPr>
        <w:keepNext w:val="0"/>
        <w:keepLines w:val="0"/>
        <w:pageBreakBefore w:val="0"/>
        <w:widowControl w:val="0"/>
        <w:tabs>
          <w:tab w:val="left" w:pos="360"/>
        </w:tabs>
        <w:kinsoku/>
        <w:wordWrap/>
        <w:overflowPunct/>
        <w:topLinePunct w:val="0"/>
        <w:autoSpaceDE/>
        <w:autoSpaceDN/>
        <w:bidi w:val="0"/>
        <w:spacing w:line="460" w:lineRule="exact"/>
        <w:ind w:left="0" w:leftChars="0"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b/>
          <w:bCs/>
          <w:color w:val="auto"/>
          <w:sz w:val="22"/>
          <w:szCs w:val="22"/>
          <w:highlight w:val="none"/>
          <w:u w:val="single"/>
        </w:rPr>
        <w:t>现场踏勘：各投标人于投标截止时间前自行到温州市第七人民医院进行踏勘 ，以获取本次投标所需的现场资料及数据，投标人若未到现场踏勘，引起的一切后果均由其自行负责，由此造成投标价的偏差均不予调整</w:t>
      </w:r>
      <w:r>
        <w:rPr>
          <w:rFonts w:hint="eastAsia" w:ascii="新宋体" w:hAnsi="新宋体" w:eastAsia="新宋体" w:cs="新宋体"/>
          <w:b/>
          <w:bCs/>
          <w:color w:val="auto"/>
          <w:sz w:val="22"/>
          <w:szCs w:val="22"/>
          <w:highlight w:val="none"/>
        </w:rPr>
        <w:t>。</w:t>
      </w:r>
    </w:p>
    <w:p w14:paraId="717334F7">
      <w:pPr>
        <w:keepNext w:val="0"/>
        <w:keepLines w:val="0"/>
        <w:pageBreakBefore w:val="0"/>
        <w:widowControl w:val="0"/>
        <w:tabs>
          <w:tab w:val="left" w:pos="360"/>
        </w:tabs>
        <w:kinsoku/>
        <w:wordWrap/>
        <w:overflowPunct/>
        <w:topLinePunct w:val="0"/>
        <w:autoSpaceDE/>
        <w:autoSpaceDN/>
        <w:bidi w:val="0"/>
        <w:spacing w:line="460" w:lineRule="exact"/>
        <w:ind w:left="0" w:leftChars="0"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投标人必须完成招标内容和合同（基本要求、价格和服务）规定义务，不允许只对部分内容进行投标。</w:t>
      </w:r>
    </w:p>
    <w:p w14:paraId="576F5BAA">
      <w:pPr>
        <w:keepNext w:val="0"/>
        <w:keepLines w:val="0"/>
        <w:pageBreakBefore w:val="0"/>
        <w:widowControl w:val="0"/>
        <w:tabs>
          <w:tab w:val="left" w:pos="360"/>
        </w:tabs>
        <w:kinsoku/>
        <w:wordWrap/>
        <w:overflowPunct/>
        <w:topLinePunct w:val="0"/>
        <w:autoSpaceDE/>
        <w:autoSpaceDN/>
        <w:bidi w:val="0"/>
        <w:spacing w:line="460" w:lineRule="exact"/>
        <w:ind w:left="0" w:leftChars="0"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本次项目服务的标准、规范，应符合国家有关条例及规范。</w:t>
      </w:r>
    </w:p>
    <w:p w14:paraId="03A33E65">
      <w:pPr>
        <w:keepNext w:val="0"/>
        <w:keepLines w:val="0"/>
        <w:pageBreakBefore w:val="0"/>
        <w:widowControl w:val="0"/>
        <w:tabs>
          <w:tab w:val="left" w:pos="360"/>
        </w:tabs>
        <w:kinsoku/>
        <w:wordWrap/>
        <w:overflowPunct/>
        <w:topLinePunct w:val="0"/>
        <w:autoSpaceDE/>
        <w:autoSpaceDN/>
        <w:bidi w:val="0"/>
        <w:spacing w:line="460" w:lineRule="exact"/>
        <w:ind w:left="0" w:leftChars="0"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在投标之前，投标人须仔细阅读招标文件，如发现有任何疑问、冲突或问题，投标人须在答疑截止时间前以书面形式向招标采购机构提出。逾期投标人不再作答复，有关风险及责任由投标人自行承担。</w:t>
      </w:r>
    </w:p>
    <w:p w14:paraId="32F74CDB">
      <w:pPr>
        <w:keepNext w:val="0"/>
        <w:keepLines w:val="0"/>
        <w:pageBreakBefore w:val="0"/>
        <w:widowControl w:val="0"/>
        <w:tabs>
          <w:tab w:val="left" w:pos="360"/>
        </w:tabs>
        <w:kinsoku/>
        <w:wordWrap/>
        <w:overflowPunct/>
        <w:topLinePunct w:val="0"/>
        <w:autoSpaceDE/>
        <w:autoSpaceDN/>
        <w:bidi w:val="0"/>
        <w:spacing w:line="460" w:lineRule="exact"/>
        <w:ind w:left="0" w:leftChars="0"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承包时间：</w:t>
      </w:r>
    </w:p>
    <w:p w14:paraId="4198C049">
      <w:pPr>
        <w:keepNext w:val="0"/>
        <w:keepLines w:val="0"/>
        <w:pageBreakBefore w:val="0"/>
        <w:widowControl w:val="0"/>
        <w:kinsoku/>
        <w:wordWrap/>
        <w:overflowPunct/>
        <w:topLinePunct w:val="0"/>
        <w:autoSpaceDE/>
        <w:autoSpaceDN/>
        <w:bidi w:val="0"/>
        <w:adjustRightInd w:val="0"/>
        <w:snapToGrid w:val="0"/>
        <w:spacing w:line="460" w:lineRule="exact"/>
        <w:ind w:left="0" w:leftChars="0"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本项目承包期限为</w:t>
      </w:r>
      <w:r>
        <w:rPr>
          <w:rFonts w:hint="eastAsia" w:ascii="新宋体" w:hAnsi="新宋体" w:eastAsia="新宋体" w:cs="新宋体"/>
          <w:color w:val="auto"/>
          <w:sz w:val="22"/>
          <w:szCs w:val="22"/>
          <w:highlight w:val="none"/>
          <w:lang w:eastAsia="zh-CN"/>
        </w:rPr>
        <w:t>合同签订后</w:t>
      </w:r>
      <w:r>
        <w:rPr>
          <w:rFonts w:hint="eastAsia" w:ascii="新宋体" w:hAnsi="新宋体" w:eastAsia="新宋体" w:cs="新宋体"/>
          <w:color w:val="auto"/>
          <w:sz w:val="22"/>
          <w:szCs w:val="22"/>
          <w:highlight w:val="none"/>
        </w:rPr>
        <w:t>1年</w:t>
      </w:r>
      <w:r>
        <w:rPr>
          <w:rFonts w:hint="eastAsia" w:ascii="新宋体" w:hAnsi="新宋体" w:eastAsia="新宋体" w:cs="新宋体"/>
          <w:color w:val="auto"/>
          <w:sz w:val="22"/>
          <w:szCs w:val="22"/>
          <w:highlight w:val="none"/>
          <w:lang w:val="en-US" w:eastAsia="zh-CN"/>
        </w:rPr>
        <w:t>或合同签订后实际结算价满预算金额，</w:t>
      </w:r>
      <w:r>
        <w:rPr>
          <w:rFonts w:hint="eastAsia" w:ascii="新宋体" w:hAnsi="新宋体" w:eastAsia="新宋体"/>
          <w:color w:val="auto"/>
          <w:sz w:val="22"/>
          <w:highlight w:val="none"/>
        </w:rPr>
        <w:t>任一条件达到即视为合作期结束。</w:t>
      </w:r>
    </w:p>
    <w:p w14:paraId="50EC63E2">
      <w:pPr>
        <w:keepNext w:val="0"/>
        <w:keepLines w:val="0"/>
        <w:pageBreakBefore w:val="0"/>
        <w:widowControl w:val="0"/>
        <w:tabs>
          <w:tab w:val="left" w:pos="360"/>
        </w:tabs>
        <w:kinsoku/>
        <w:wordWrap/>
        <w:overflowPunct/>
        <w:topLinePunct w:val="0"/>
        <w:autoSpaceDE/>
        <w:autoSpaceDN/>
        <w:bidi w:val="0"/>
        <w:spacing w:line="460" w:lineRule="exact"/>
        <w:ind w:left="0" w:leftChars="0"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val="single"/>
        </w:rPr>
        <w:t>本项目的采购</w:t>
      </w:r>
      <w:r>
        <w:rPr>
          <w:rFonts w:hint="eastAsia" w:ascii="新宋体" w:hAnsi="新宋体" w:eastAsia="新宋体" w:cs="新宋体"/>
          <w:color w:val="auto"/>
          <w:sz w:val="22"/>
          <w:szCs w:val="22"/>
          <w:highlight w:val="none"/>
          <w:u w:val="single"/>
          <w:lang w:val="en-US" w:eastAsia="zh-CN"/>
        </w:rPr>
        <w:t>总</w:t>
      </w:r>
      <w:r>
        <w:rPr>
          <w:rFonts w:hint="eastAsia" w:ascii="新宋体" w:hAnsi="新宋体" w:eastAsia="新宋体" w:cs="新宋体"/>
          <w:color w:val="auto"/>
          <w:sz w:val="22"/>
          <w:szCs w:val="22"/>
          <w:highlight w:val="none"/>
          <w:u w:val="single"/>
        </w:rPr>
        <w:t>预算为：人民币</w:t>
      </w:r>
      <w:r>
        <w:rPr>
          <w:rFonts w:hint="eastAsia" w:ascii="新宋体" w:hAnsi="新宋体" w:eastAsia="新宋体" w:cs="新宋体"/>
          <w:color w:val="auto"/>
          <w:sz w:val="22"/>
          <w:szCs w:val="22"/>
          <w:highlight w:val="none"/>
          <w:u w:val="single"/>
          <w:lang w:val="en-US" w:eastAsia="zh-CN"/>
        </w:rPr>
        <w:t>壹佰肆拾万</w:t>
      </w:r>
      <w:r>
        <w:rPr>
          <w:rFonts w:hint="eastAsia" w:ascii="新宋体" w:hAnsi="新宋体" w:eastAsia="新宋体" w:cs="新宋体"/>
          <w:color w:val="auto"/>
          <w:sz w:val="22"/>
          <w:szCs w:val="22"/>
          <w:highlight w:val="none"/>
          <w:u w:val="single"/>
        </w:rPr>
        <w:t>元整每年（¥</w:t>
      </w:r>
      <w:r>
        <w:rPr>
          <w:rFonts w:hint="eastAsia" w:ascii="新宋体" w:hAnsi="新宋体" w:eastAsia="新宋体" w:cs="新宋体"/>
          <w:color w:val="auto"/>
          <w:sz w:val="22"/>
          <w:szCs w:val="22"/>
          <w:highlight w:val="none"/>
          <w:u w:val="single"/>
          <w:lang w:val="en-US" w:eastAsia="zh-CN"/>
        </w:rPr>
        <w:t>1400000</w:t>
      </w:r>
      <w:r>
        <w:rPr>
          <w:rFonts w:hint="eastAsia" w:ascii="新宋体" w:hAnsi="新宋体" w:eastAsia="新宋体" w:cs="新宋体"/>
          <w:color w:val="auto"/>
          <w:sz w:val="22"/>
          <w:szCs w:val="22"/>
          <w:highlight w:val="none"/>
          <w:u w:val="single"/>
        </w:rPr>
        <w:t>.00元/年），</w:t>
      </w:r>
      <w:r>
        <w:rPr>
          <w:rFonts w:hint="eastAsia" w:ascii="新宋体" w:hAnsi="新宋体" w:eastAsia="新宋体" w:cs="新宋体"/>
          <w:color w:val="auto"/>
          <w:sz w:val="22"/>
          <w:highlight w:val="none"/>
          <w:lang w:val="en-US" w:eastAsia="zh-CN"/>
        </w:rPr>
        <w:t>综合</w:t>
      </w:r>
      <w:r>
        <w:rPr>
          <w:rFonts w:hint="eastAsia" w:ascii="新宋体" w:hAnsi="新宋体" w:eastAsia="新宋体" w:cs="新宋体"/>
          <w:color w:val="auto"/>
          <w:sz w:val="22"/>
          <w:highlight w:val="none"/>
        </w:rPr>
        <w:t>单价限价为：</w:t>
      </w:r>
      <w:r>
        <w:rPr>
          <w:rFonts w:hint="eastAsia" w:ascii="新宋体" w:hAnsi="新宋体" w:eastAsia="新宋体" w:cs="新宋体"/>
          <w:color w:val="auto"/>
          <w:sz w:val="22"/>
          <w:highlight w:val="none"/>
          <w:lang w:val="en-US" w:eastAsia="zh-CN"/>
        </w:rPr>
        <w:t>2.5</w:t>
      </w:r>
      <w:r>
        <w:rPr>
          <w:rFonts w:hint="eastAsia" w:ascii="新宋体" w:hAnsi="新宋体" w:eastAsia="新宋体" w:cs="新宋体"/>
          <w:color w:val="auto"/>
          <w:sz w:val="22"/>
          <w:highlight w:val="none"/>
        </w:rPr>
        <w:t>元/床日</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szCs w:val="22"/>
          <w:highlight w:val="none"/>
          <w:u w:val="single"/>
        </w:rPr>
        <w:t>投标人的投标报价不得超过</w:t>
      </w:r>
      <w:r>
        <w:rPr>
          <w:rFonts w:hint="eastAsia" w:ascii="新宋体" w:hAnsi="新宋体" w:eastAsia="新宋体" w:cs="新宋体"/>
          <w:color w:val="auto"/>
          <w:sz w:val="22"/>
          <w:szCs w:val="22"/>
          <w:highlight w:val="none"/>
          <w:u w:val="single"/>
          <w:lang w:val="en-US" w:eastAsia="zh-CN"/>
        </w:rPr>
        <w:t>综合</w:t>
      </w:r>
      <w:r>
        <w:rPr>
          <w:rFonts w:hint="eastAsia" w:ascii="新宋体" w:hAnsi="新宋体" w:eastAsia="新宋体" w:cs="新宋体"/>
          <w:color w:val="auto"/>
          <w:sz w:val="22"/>
          <w:szCs w:val="22"/>
          <w:highlight w:val="none"/>
          <w:u w:val="single"/>
        </w:rPr>
        <w:t>单价限价，否则作无效标处理</w:t>
      </w:r>
      <w:r>
        <w:rPr>
          <w:rFonts w:hint="eastAsia" w:ascii="新宋体" w:hAnsi="新宋体" w:eastAsia="新宋体" w:cs="新宋体"/>
          <w:color w:val="auto"/>
          <w:sz w:val="22"/>
          <w:szCs w:val="22"/>
          <w:highlight w:val="none"/>
        </w:rPr>
        <w:t>。</w:t>
      </w:r>
    </w:p>
    <w:p w14:paraId="7250ED71">
      <w:pPr>
        <w:keepNext w:val="0"/>
        <w:keepLines w:val="0"/>
        <w:pageBreakBefore w:val="0"/>
        <w:widowControl w:val="0"/>
        <w:tabs>
          <w:tab w:val="left" w:pos="360"/>
        </w:tabs>
        <w:kinsoku/>
        <w:wordWrap/>
        <w:overflowPunct/>
        <w:topLinePunct w:val="0"/>
        <w:autoSpaceDE/>
        <w:autoSpaceDN/>
        <w:bidi w:val="0"/>
        <w:spacing w:line="460" w:lineRule="exact"/>
        <w:ind w:left="0" w:leftChars="0" w:firstLine="442" w:firstLineChars="200"/>
        <w:textAlignment w:val="auto"/>
        <w:rPr>
          <w:rFonts w:hint="eastAsia" w:ascii="新宋体" w:hAnsi="新宋体" w:eastAsia="新宋体" w:cs="新宋体"/>
          <w:b/>
          <w:snapToGrid w:val="0"/>
          <w:color w:val="auto"/>
          <w:kern w:val="0"/>
          <w:sz w:val="22"/>
          <w:szCs w:val="22"/>
          <w:highlight w:val="none"/>
        </w:rPr>
      </w:pPr>
      <w:r>
        <w:rPr>
          <w:rFonts w:hint="eastAsia" w:ascii="新宋体" w:hAnsi="新宋体" w:eastAsia="新宋体" w:cs="新宋体"/>
          <w:b/>
          <w:snapToGrid w:val="0"/>
          <w:color w:val="auto"/>
          <w:kern w:val="0"/>
          <w:sz w:val="22"/>
          <w:szCs w:val="22"/>
          <w:highlight w:val="none"/>
        </w:rPr>
        <w:t>9</w:t>
      </w:r>
      <w:r>
        <w:rPr>
          <w:rFonts w:hint="eastAsia" w:ascii="新宋体" w:hAnsi="新宋体" w:eastAsia="新宋体" w:cs="新宋体"/>
          <w:b/>
          <w:snapToGrid w:val="0"/>
          <w:color w:val="auto"/>
          <w:kern w:val="0"/>
          <w:sz w:val="22"/>
          <w:szCs w:val="22"/>
          <w:highlight w:val="none"/>
          <w:lang w:eastAsia="zh-CN"/>
        </w:rPr>
        <w:t>、</w:t>
      </w:r>
      <w:r>
        <w:rPr>
          <w:rFonts w:hint="eastAsia" w:ascii="新宋体" w:hAnsi="新宋体" w:eastAsia="新宋体" w:cs="新宋体"/>
          <w:b/>
          <w:snapToGrid w:val="0"/>
          <w:color w:val="auto"/>
          <w:kern w:val="0"/>
          <w:sz w:val="22"/>
          <w:szCs w:val="22"/>
          <w:highlight w:val="none"/>
        </w:rPr>
        <w:t>付款方式及其他要求见第</w:t>
      </w:r>
      <w:r>
        <w:rPr>
          <w:rFonts w:hint="eastAsia" w:ascii="新宋体" w:hAnsi="新宋体" w:eastAsia="新宋体" w:cs="新宋体"/>
          <w:b/>
          <w:snapToGrid w:val="0"/>
          <w:color w:val="auto"/>
          <w:kern w:val="0"/>
          <w:sz w:val="22"/>
          <w:szCs w:val="22"/>
          <w:highlight w:val="none"/>
          <w:lang w:val="en-US" w:eastAsia="zh-CN"/>
        </w:rPr>
        <w:t>二</w:t>
      </w:r>
      <w:r>
        <w:rPr>
          <w:rFonts w:hint="eastAsia" w:ascii="新宋体" w:hAnsi="新宋体" w:eastAsia="新宋体" w:cs="新宋体"/>
          <w:b/>
          <w:snapToGrid w:val="0"/>
          <w:color w:val="auto"/>
          <w:kern w:val="0"/>
          <w:sz w:val="22"/>
          <w:szCs w:val="22"/>
          <w:highlight w:val="none"/>
        </w:rPr>
        <w:t>部分“合同主要条款”。</w:t>
      </w:r>
    </w:p>
    <w:p w14:paraId="4C529885">
      <w:pPr>
        <w:keepNext w:val="0"/>
        <w:keepLines w:val="0"/>
        <w:pageBreakBefore w:val="0"/>
        <w:widowControl w:val="0"/>
        <w:kinsoku/>
        <w:wordWrap/>
        <w:overflowPunct/>
        <w:topLinePunct w:val="0"/>
        <w:autoSpaceDE/>
        <w:autoSpaceDN/>
        <w:bidi w:val="0"/>
        <w:adjustRightInd/>
        <w:snapToGrid/>
        <w:spacing w:line="460" w:lineRule="atLeast"/>
        <w:jc w:val="both"/>
        <w:textAlignment w:val="auto"/>
        <w:outlineLvl w:val="9"/>
        <w:rPr>
          <w:rFonts w:hint="eastAsia" w:ascii="新宋体" w:hAnsi="新宋体" w:eastAsia="新宋体" w:cs="新宋体"/>
          <w:color w:val="auto"/>
          <w:sz w:val="24"/>
          <w:szCs w:val="24"/>
          <w:highlight w:val="none"/>
        </w:rPr>
      </w:pPr>
      <w:bookmarkStart w:id="47" w:name="_Toc469131331"/>
      <w:bookmarkStart w:id="48" w:name="_Toc2096"/>
      <w:bookmarkStart w:id="49" w:name="_Toc15714563"/>
      <w:bookmarkStart w:id="50" w:name="_Toc28342714"/>
      <w:bookmarkStart w:id="51" w:name="_Toc9277"/>
      <w:bookmarkStart w:id="52" w:name="_Toc36800823"/>
      <w:r>
        <w:rPr>
          <w:rFonts w:hint="eastAsia" w:ascii="新宋体" w:hAnsi="新宋体" w:eastAsia="新宋体" w:cs="新宋体"/>
          <w:color w:val="auto"/>
          <w:sz w:val="24"/>
          <w:szCs w:val="24"/>
          <w:highlight w:val="none"/>
        </w:rPr>
        <w:t>二、</w:t>
      </w:r>
      <w:bookmarkEnd w:id="47"/>
      <w:r>
        <w:rPr>
          <w:rFonts w:hint="eastAsia" w:ascii="新宋体" w:hAnsi="新宋体" w:eastAsia="新宋体" w:cs="新宋体"/>
          <w:color w:val="auto"/>
          <w:sz w:val="24"/>
          <w:szCs w:val="24"/>
          <w:highlight w:val="none"/>
        </w:rPr>
        <w:t>招标内容及范围</w:t>
      </w:r>
      <w:bookmarkEnd w:id="48"/>
      <w:bookmarkEnd w:id="49"/>
      <w:bookmarkEnd w:id="50"/>
      <w:bookmarkEnd w:id="51"/>
      <w:bookmarkEnd w:id="52"/>
    </w:p>
    <w:p w14:paraId="2338C30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（一）项目概述</w:t>
      </w:r>
    </w:p>
    <w:p w14:paraId="0BB2933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1、医院现有三个院区，参与投标供应商自行前往院区考察核实情况。</w:t>
      </w:r>
    </w:p>
    <w:p w14:paraId="08BFDA6B">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本次项目为温州市第七人民医院采购的洗涤服务，投标人应根据招标要求，在对医院作全面了解的情况下编制科学合理、切实可行的组织实施计划以及具体的保障措施、工作等程序。投标人须依照现代企业制度，以合理的服务流程和服务人数、优良的服务质量、稳定的服务队伍、优惠的价格来制订详细的服务方案，充分体现自身的实力，发挥自身优势，用热心、爱心、专心、贴心服务，为医院后勤社会化提供全方位、一体化的专业服务保障。保证医疗工作正常进行，各项重大活动顺利完成，并保证医院服务形象上升一个新台阶。</w:t>
      </w:r>
    </w:p>
    <w:p w14:paraId="06DBFC79">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3、投标人应根据采购人的要求，以合理的服务流程和服务人数、优良的服务质量、科学的物业养护、稳定服务的队伍、优惠的价格制定详细的服务方案前来投标，充分显示自身的竞争实力。</w:t>
      </w:r>
    </w:p>
    <w:p w14:paraId="7EDE2B69">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4、本次招标只设一个标段，投标人必须对全部招标内容进行投标，不允许只对其中部分内容进行投标。本项目接受联合体投标。</w:t>
      </w:r>
    </w:p>
    <w:p w14:paraId="5E923A41">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（二）服务内容和服务质量要求</w:t>
      </w:r>
    </w:p>
    <w:bookmarkEnd w:id="38"/>
    <w:bookmarkEnd w:id="39"/>
    <w:bookmarkEnd w:id="40"/>
    <w:bookmarkEnd w:id="41"/>
    <w:bookmarkEnd w:id="42"/>
    <w:bookmarkEnd w:id="43"/>
    <w:bookmarkEnd w:id="44"/>
    <w:bookmarkEnd w:id="45"/>
    <w:bookmarkEnd w:id="46"/>
    <w:p w14:paraId="19DD27BA">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1、服务内容包括：</w:t>
      </w:r>
      <w:r>
        <w:rPr>
          <w:rFonts w:hint="eastAsia" w:ascii="新宋体" w:hAnsi="新宋体" w:eastAsia="新宋体" w:cs="新宋体"/>
          <w:bCs/>
          <w:color w:val="auto"/>
          <w:sz w:val="22"/>
          <w:szCs w:val="22"/>
          <w:highlight w:val="none"/>
        </w:rPr>
        <w:t>温州市第七人民医院全</w:t>
      </w:r>
      <w:r>
        <w:rPr>
          <w:rFonts w:hint="eastAsia" w:ascii="新宋体" w:hAnsi="新宋体" w:eastAsia="新宋体" w:cs="新宋体"/>
          <w:b w:val="0"/>
          <w:bCs/>
          <w:color w:val="auto"/>
          <w:sz w:val="22"/>
          <w:szCs w:val="22"/>
          <w:highlight w:val="none"/>
        </w:rPr>
        <w:t>年的</w:t>
      </w:r>
      <w:r>
        <w:rPr>
          <w:rFonts w:hint="eastAsia" w:ascii="新宋体" w:hAnsi="新宋体" w:eastAsia="新宋体" w:cs="新宋体"/>
          <w:color w:val="auto"/>
          <w:sz w:val="22"/>
          <w:szCs w:val="22"/>
          <w:highlight w:val="none"/>
        </w:rPr>
        <w:t>被服（医院内被洗涤的所有织物,包括病人衣物、床单、病房布巾、医务人员工作服、医务人员值班室被服、</w:t>
      </w:r>
      <w:r>
        <w:rPr>
          <w:rFonts w:hint="eastAsia" w:ascii="新宋体" w:hAnsi="新宋体" w:eastAsia="新宋体" w:cs="新宋体"/>
          <w:color w:val="auto"/>
          <w:sz w:val="22"/>
          <w:szCs w:val="22"/>
          <w:highlight w:val="none"/>
          <w:lang w:eastAsia="zh-CN"/>
        </w:rPr>
        <w:t>护工工作服、物业工作服、</w:t>
      </w:r>
      <w:r>
        <w:rPr>
          <w:rFonts w:hint="eastAsia" w:ascii="新宋体" w:hAnsi="新宋体" w:eastAsia="新宋体" w:cs="新宋体"/>
          <w:color w:val="auto"/>
          <w:sz w:val="22"/>
          <w:szCs w:val="22"/>
          <w:highlight w:val="none"/>
        </w:rPr>
        <w:t>病人内衣、窗帘、隔帘、毛毯等）。</w:t>
      </w:r>
    </w:p>
    <w:p w14:paraId="6CA2A29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被服洗涤服务：收集、发放（中转站—洗衣房）、洗涤、消毒、烘干、熨平、修补等。棉织品损耗后及时补充新品，供采购人使用。</w:t>
      </w:r>
    </w:p>
    <w:p w14:paraId="5E294A49">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2、服务质量必须符合行业行规要求：</w:t>
      </w:r>
    </w:p>
    <w:p w14:paraId="70AEC25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可重复使用医用织物洗涤消毒技术规范：</w:t>
      </w:r>
    </w:p>
    <w:p w14:paraId="0109B72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GB 4789.4  食品微生物学检验  沙门氏菌检验</w:t>
      </w:r>
    </w:p>
    <w:p w14:paraId="4235FE5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GB/T 4789.11  食品卫生微生物学检验 溶血性链球菌检验</w:t>
      </w:r>
    </w:p>
    <w:p w14:paraId="44F131C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GB 5749  生活饮用水卫生标准</w:t>
      </w:r>
    </w:p>
    <w:p w14:paraId="0E573DC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GB/T 7573  纺织品 水萃取液pH值的测定</w:t>
      </w:r>
    </w:p>
    <w:p w14:paraId="0869DED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GB 7918.4  化妆品微生物标准检验方法 绿脓杆菌</w:t>
      </w:r>
    </w:p>
    <w:p w14:paraId="17AD456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GB 7918.5  化妆品微生物标准检验方法 金黄色葡萄球菌</w:t>
      </w:r>
    </w:p>
    <w:p w14:paraId="18E0AF8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GB 15979  一次性卫生用品卫生标准</w:t>
      </w:r>
    </w:p>
    <w:p w14:paraId="5C0B4D6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GB 15982  医院消毒卫生标准</w:t>
      </w:r>
    </w:p>
    <w:p w14:paraId="36F1CFC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GB 19193  疫源地消毒总则</w:t>
      </w:r>
    </w:p>
    <w:p w14:paraId="6CC3556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WS/T 311  医院隔离技术规范</w:t>
      </w:r>
    </w:p>
    <w:p w14:paraId="409871D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WS/T 313  医务人员手卫生规范</w:t>
      </w:r>
    </w:p>
    <w:p w14:paraId="3EE6E89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WS/T 367  医疗机构消毒技术规范</w:t>
      </w:r>
    </w:p>
    <w:p w14:paraId="690CFAC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医疗废物管理条例  国务院令第380号</w:t>
      </w:r>
    </w:p>
    <w:p w14:paraId="6124E55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医疗卫生机构医疗废物管理办法  卫生部</w:t>
      </w:r>
    </w:p>
    <w:p w14:paraId="56384BF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3、工作人员应掌握个人防护及医院感染预防与控制方面的知识，遵循标准预防的原则，严格遵守本制度。</w:t>
      </w:r>
    </w:p>
    <w:p w14:paraId="250E49A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洗衣房布局合理：待洗物品流程由污到洁，不逆流，分为浸泡消毒区，洗涤区、烘干整烫区、折叠区、清洁存放区。洗涤部门的设立应远离垃圾处理站10米以上，附近无有害气体、烟雾、灰尘和其他有毒有害物品。周围环境无蚊蝇等害虫孳生地；工作区内应无蟑螂等有害生物。工作区内地面、墙面和工作台面应平整、不起尘，便于清洁。保持清洁区工作台面细菌菌落总数≤1500cfu/ 100cm2。洗涤部门（房）应保持良好空气流通，保持空气从清洁区向污染区流动,其要求参照GBZ2—2002和GB/T 18883—2002执行。</w:t>
      </w:r>
    </w:p>
    <w:p w14:paraId="59C49E0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认真执行消毒、清洗制度，严格分类清洗。被血液、体液、呕吐物、排泄物等污染的衣物应单独消毒清洗。消毒采用含氯消毒剂，浸泡消毒时间大于30分钟，消毒一般物品有效氯含量≥250mg/L，消毒污染物品有效氯含量≥500 mg/L，煮沸消毒为30分钟以上，洗涤时间为1小时。被传染病污染的衣物，封闭运输，先消毒后清洗。</w:t>
      </w:r>
    </w:p>
    <w:p w14:paraId="702AAAB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6、清洁布草专区存放，运送车辆洁、污分开，每日清洗消毒。</w:t>
      </w:r>
    </w:p>
    <w:p w14:paraId="41960AF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7、工作环境每日清洁消毒，每周大扫除，保持卫生清洁。</w:t>
      </w:r>
    </w:p>
    <w:p w14:paraId="401D4E0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8、工作人员上班穿戴好工作衣帽、口罩及工作鞋、接触污物后用消毒液洗手，不在工作场所进食、吸烟，每日洗澡更衣。</w:t>
      </w:r>
    </w:p>
    <w:p w14:paraId="7D0EBD7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9、废水经消毒后排入污水管网。</w:t>
      </w:r>
    </w:p>
    <w:p w14:paraId="4BB5F1F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10、医院床单按每天的病床量前一天下单第二天按数全院统一配送（不管每天的洗涤量，不够直接补上）。必须保证被服洗涤的质量，降低布类洗涤损耗，加强洗涤用品、洗涤方式的管理，保证被服洗涤卫生、整洁、整齐，严格执行技术标准和规范。</w:t>
      </w:r>
    </w:p>
    <w:p w14:paraId="05586AA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kern w:val="0"/>
          <w:sz w:val="22"/>
          <w:szCs w:val="22"/>
          <w:highlight w:val="none"/>
          <w:lang w:val="en-US" w:eastAsia="zh-CN" w:bidi="ar"/>
        </w:rPr>
      </w:pPr>
      <w:r>
        <w:rPr>
          <w:rFonts w:hint="eastAsia" w:ascii="新宋体" w:hAnsi="新宋体" w:eastAsia="新宋体" w:cs="新宋体"/>
          <w:color w:val="auto"/>
          <w:kern w:val="0"/>
          <w:sz w:val="22"/>
          <w:szCs w:val="22"/>
          <w:highlight w:val="none"/>
          <w:lang w:val="en-US" w:eastAsia="zh-CN" w:bidi="ar"/>
        </w:rPr>
        <w:t>11、</w:t>
      </w:r>
      <w:r>
        <w:rPr>
          <w:rFonts w:ascii="新宋体" w:hAnsi="新宋体" w:eastAsia="新宋体" w:cs="新宋体"/>
          <w:color w:val="auto"/>
          <w:kern w:val="0"/>
          <w:sz w:val="22"/>
          <w:szCs w:val="22"/>
          <w:highlight w:val="none"/>
          <w:lang w:val="en-US" w:eastAsia="zh-CN" w:bidi="ar"/>
        </w:rPr>
        <w:t>中标人做到每一件织物返</w:t>
      </w:r>
      <w:r>
        <w:rPr>
          <w:rFonts w:hint="eastAsia" w:ascii="新宋体" w:hAnsi="新宋体" w:eastAsia="新宋体" w:cs="新宋体"/>
          <w:color w:val="auto"/>
          <w:kern w:val="0"/>
          <w:sz w:val="22"/>
          <w:szCs w:val="22"/>
          <w:highlight w:val="none"/>
          <w:lang w:val="en-US" w:eastAsia="zh-CN" w:bidi="ar"/>
        </w:rPr>
        <w:t>回后能投入使用。对达不到洗涤质量要求的衣物，中标人需负责免费返洗。</w:t>
      </w:r>
    </w:p>
    <w:p w14:paraId="7F1CC5F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lang w:val="en-US" w:eastAsia="zh-CN"/>
        </w:rPr>
        <w:t>12</w:t>
      </w:r>
      <w:r>
        <w:rPr>
          <w:rFonts w:hint="eastAsia" w:ascii="新宋体" w:hAnsi="新宋体" w:eastAsia="新宋体" w:cs="新宋体"/>
          <w:color w:val="auto"/>
          <w:sz w:val="22"/>
          <w:szCs w:val="22"/>
          <w:highlight w:val="none"/>
        </w:rPr>
        <w:t>、院方负责对洗涤产品质量进行</w:t>
      </w:r>
      <w:r>
        <w:rPr>
          <w:rFonts w:hint="eastAsia" w:ascii="新宋体" w:hAnsi="新宋体" w:eastAsia="新宋体" w:cs="新宋体"/>
          <w:color w:val="auto"/>
          <w:sz w:val="22"/>
          <w:szCs w:val="22"/>
          <w:highlight w:val="none"/>
          <w:lang w:eastAsia="zh-CN"/>
        </w:rPr>
        <w:t>每年</w:t>
      </w:r>
      <w:r>
        <w:rPr>
          <w:rFonts w:hint="eastAsia" w:ascii="新宋体" w:hAnsi="新宋体" w:eastAsia="新宋体" w:cs="新宋体"/>
          <w:color w:val="auto"/>
          <w:sz w:val="22"/>
          <w:szCs w:val="22"/>
          <w:highlight w:val="none"/>
        </w:rPr>
        <w:t>抽查</w:t>
      </w:r>
      <w:r>
        <w:rPr>
          <w:rFonts w:hint="eastAsia" w:ascii="新宋体" w:hAnsi="新宋体" w:eastAsia="新宋体" w:cs="新宋体"/>
          <w:color w:val="auto"/>
          <w:sz w:val="22"/>
          <w:szCs w:val="22"/>
          <w:highlight w:val="none"/>
          <w:lang w:val="en-US" w:eastAsia="zh-CN"/>
        </w:rPr>
        <w:t>2-3次</w:t>
      </w:r>
      <w:r>
        <w:rPr>
          <w:rFonts w:hint="eastAsia" w:ascii="新宋体" w:hAnsi="新宋体" w:eastAsia="新宋体" w:cs="新宋体"/>
          <w:color w:val="auto"/>
          <w:sz w:val="22"/>
          <w:szCs w:val="22"/>
          <w:highlight w:val="none"/>
        </w:rPr>
        <w:t>，允许返洗率在</w:t>
      </w: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rPr>
        <w:t>%，如有特殊处理或重污处理不了，应该将其收回并且及时补足。其它超出部分按质量不达标或投诉处理，</w:t>
      </w:r>
      <w:r>
        <w:rPr>
          <w:rFonts w:hint="eastAsia" w:ascii="新宋体" w:hAnsi="新宋体" w:eastAsia="新宋体" w:cs="新宋体"/>
          <w:color w:val="auto"/>
          <w:sz w:val="22"/>
          <w:szCs w:val="22"/>
          <w:highlight w:val="none"/>
          <w:lang w:eastAsia="zh-CN"/>
        </w:rPr>
        <w:t>按以下标准罚扣款：</w:t>
      </w:r>
    </w:p>
    <w:tbl>
      <w:tblPr>
        <w:tblStyle w:val="53"/>
        <w:tblW w:w="9647" w:type="dxa"/>
        <w:tblInd w:w="91"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7444"/>
        <w:gridCol w:w="2203"/>
      </w:tblGrid>
      <w:tr w14:paraId="7C63165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444" w:type="dxa"/>
            <w:tcBorders>
              <w:top w:val="single" w:color="auto" w:sz="6" w:space="0"/>
            </w:tcBorders>
            <w:noWrap w:val="0"/>
            <w:vAlign w:val="center"/>
          </w:tcPr>
          <w:p w14:paraId="45EFCF38">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缺陷</w:t>
            </w:r>
          </w:p>
        </w:tc>
        <w:tc>
          <w:tcPr>
            <w:tcW w:w="2203" w:type="dxa"/>
            <w:noWrap w:val="0"/>
            <w:vAlign w:val="center"/>
          </w:tcPr>
          <w:p w14:paraId="30D3A924">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扣款标准</w:t>
            </w:r>
          </w:p>
        </w:tc>
      </w:tr>
      <w:tr w14:paraId="344F2ED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444" w:type="dxa"/>
            <w:tcBorders>
              <w:top w:val="single" w:color="auto" w:sz="6" w:space="0"/>
            </w:tcBorders>
            <w:noWrap w:val="0"/>
            <w:vAlign w:val="center"/>
          </w:tcPr>
          <w:p w14:paraId="3C7C4089">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经医务人员或患方反映，工作人员服务态度恶劣，发生争吵，经查情况属实</w:t>
            </w:r>
          </w:p>
        </w:tc>
        <w:tc>
          <w:tcPr>
            <w:tcW w:w="2203" w:type="dxa"/>
            <w:noWrap w:val="0"/>
            <w:vAlign w:val="center"/>
          </w:tcPr>
          <w:p w14:paraId="22D48EE1">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100元/（次）</w:t>
            </w:r>
          </w:p>
        </w:tc>
      </w:tr>
      <w:tr w14:paraId="0517830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444" w:type="dxa"/>
            <w:noWrap w:val="0"/>
            <w:vAlign w:val="center"/>
          </w:tcPr>
          <w:p w14:paraId="6B3FD5ED">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使用后医用织物与清洁织物未分开放，未使用封闭式专车运送</w:t>
            </w:r>
          </w:p>
        </w:tc>
        <w:tc>
          <w:tcPr>
            <w:tcW w:w="2203" w:type="dxa"/>
            <w:noWrap w:val="0"/>
            <w:vAlign w:val="center"/>
          </w:tcPr>
          <w:p w14:paraId="060AE447">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50元/（次）</w:t>
            </w:r>
          </w:p>
        </w:tc>
      </w:tr>
      <w:tr w14:paraId="401F4F8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19" w:hRule="atLeast"/>
        </w:trPr>
        <w:tc>
          <w:tcPr>
            <w:tcW w:w="7444" w:type="dxa"/>
            <w:noWrap w:val="0"/>
            <w:vAlign w:val="center"/>
          </w:tcPr>
          <w:p w14:paraId="72E0AE73">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医用被服收集无专用包装袋包装，感染类被服包装袋与其他包装袋无明显颜色区分</w:t>
            </w:r>
          </w:p>
        </w:tc>
        <w:tc>
          <w:tcPr>
            <w:tcW w:w="2203" w:type="dxa"/>
            <w:noWrap w:val="0"/>
            <w:vAlign w:val="center"/>
          </w:tcPr>
          <w:p w14:paraId="3C8875B7">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50元/（次）</w:t>
            </w:r>
          </w:p>
        </w:tc>
      </w:tr>
      <w:tr w14:paraId="09E1896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444" w:type="dxa"/>
            <w:noWrap w:val="0"/>
            <w:vAlign w:val="center"/>
          </w:tcPr>
          <w:p w14:paraId="2D3055A4">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运送车辆未按规范要求定期清洁、消毒</w:t>
            </w:r>
          </w:p>
        </w:tc>
        <w:tc>
          <w:tcPr>
            <w:tcW w:w="2203" w:type="dxa"/>
            <w:noWrap w:val="0"/>
            <w:vAlign w:val="center"/>
          </w:tcPr>
          <w:p w14:paraId="6BC6F033">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50元/（次）</w:t>
            </w:r>
          </w:p>
        </w:tc>
      </w:tr>
      <w:tr w14:paraId="42CA262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444" w:type="dxa"/>
            <w:noWrap w:val="0"/>
            <w:vAlign w:val="center"/>
          </w:tcPr>
          <w:p w14:paraId="0292AF1A">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洁净织物未按要求分类或缝补不及时</w:t>
            </w:r>
          </w:p>
        </w:tc>
        <w:tc>
          <w:tcPr>
            <w:tcW w:w="2203" w:type="dxa"/>
            <w:noWrap w:val="0"/>
            <w:vAlign w:val="center"/>
          </w:tcPr>
          <w:p w14:paraId="7271B276">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20元/次</w:t>
            </w:r>
          </w:p>
        </w:tc>
      </w:tr>
      <w:tr w14:paraId="3C3A624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444" w:type="dxa"/>
            <w:noWrap w:val="0"/>
            <w:vAlign w:val="center"/>
          </w:tcPr>
          <w:p w14:paraId="790B5AE4">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包布折叠不规范</w:t>
            </w:r>
          </w:p>
        </w:tc>
        <w:tc>
          <w:tcPr>
            <w:tcW w:w="2203" w:type="dxa"/>
            <w:noWrap w:val="0"/>
            <w:vAlign w:val="center"/>
          </w:tcPr>
          <w:p w14:paraId="2BCEDB58">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50</w:t>
            </w:r>
            <w:r>
              <w:rPr>
                <w:rFonts w:hint="eastAsia" w:ascii="新宋体" w:hAnsi="新宋体" w:eastAsia="新宋体" w:cs="新宋体"/>
                <w:color w:val="auto"/>
                <w:kern w:val="0"/>
                <w:sz w:val="22"/>
                <w:szCs w:val="22"/>
                <w:highlight w:val="none"/>
              </w:rPr>
              <w:t>元/次</w:t>
            </w:r>
          </w:p>
        </w:tc>
      </w:tr>
      <w:tr w14:paraId="407C959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444" w:type="dxa"/>
            <w:noWrap w:val="0"/>
            <w:vAlign w:val="center"/>
          </w:tcPr>
          <w:p w14:paraId="71877E23">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洁净织物送至采购人时出现不同单位混装或洁净织物有污渍，未清洗干净</w:t>
            </w:r>
          </w:p>
        </w:tc>
        <w:tc>
          <w:tcPr>
            <w:tcW w:w="2203" w:type="dxa"/>
            <w:noWrap w:val="0"/>
            <w:vAlign w:val="center"/>
          </w:tcPr>
          <w:p w14:paraId="60710C30">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20元/（次）</w:t>
            </w:r>
          </w:p>
        </w:tc>
      </w:tr>
      <w:tr w14:paraId="756281E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29" w:hRule="atLeast"/>
        </w:trPr>
        <w:tc>
          <w:tcPr>
            <w:tcW w:w="7444" w:type="dxa"/>
            <w:noWrap w:val="0"/>
            <w:vAlign w:val="center"/>
          </w:tcPr>
          <w:p w14:paraId="757D1C59">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次日送回洁净织物数量缺失严重</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eastAsia="zh-CN"/>
              </w:rPr>
              <w:t>导致病区或科室不能满足</w:t>
            </w:r>
            <w:r>
              <w:rPr>
                <w:rFonts w:hint="eastAsia" w:ascii="新宋体" w:hAnsi="新宋体" w:eastAsia="新宋体" w:cs="新宋体"/>
                <w:color w:val="auto"/>
                <w:kern w:val="0"/>
                <w:sz w:val="22"/>
                <w:szCs w:val="22"/>
                <w:highlight w:val="none"/>
              </w:rPr>
              <w:t>使用需求</w:t>
            </w:r>
          </w:p>
        </w:tc>
        <w:tc>
          <w:tcPr>
            <w:tcW w:w="2203" w:type="dxa"/>
            <w:noWrap w:val="0"/>
            <w:vAlign w:val="center"/>
          </w:tcPr>
          <w:p w14:paraId="1E22E8D1">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30元/（次）</w:t>
            </w:r>
          </w:p>
        </w:tc>
      </w:tr>
      <w:tr w14:paraId="2EA38AC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444" w:type="dxa"/>
            <w:noWrap w:val="0"/>
            <w:vAlign w:val="center"/>
          </w:tcPr>
          <w:p w14:paraId="4E984D2B">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微生物检测重要指标不达标</w:t>
            </w:r>
          </w:p>
        </w:tc>
        <w:tc>
          <w:tcPr>
            <w:tcW w:w="2203" w:type="dxa"/>
            <w:noWrap w:val="0"/>
            <w:vAlign w:val="center"/>
          </w:tcPr>
          <w:p w14:paraId="7A290FB6">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200元/（次）</w:t>
            </w:r>
          </w:p>
        </w:tc>
      </w:tr>
      <w:tr w14:paraId="2851825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444" w:type="dxa"/>
            <w:noWrap w:val="0"/>
            <w:vAlign w:val="center"/>
          </w:tcPr>
          <w:p w14:paraId="04DEED4E">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收集袋配备不足</w:t>
            </w:r>
          </w:p>
        </w:tc>
        <w:tc>
          <w:tcPr>
            <w:tcW w:w="2203" w:type="dxa"/>
            <w:noWrap w:val="0"/>
            <w:vAlign w:val="center"/>
          </w:tcPr>
          <w:p w14:paraId="0A9320C4">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20元/（次）</w:t>
            </w:r>
          </w:p>
        </w:tc>
      </w:tr>
      <w:tr w14:paraId="5B75FBA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2" w:hRule="atLeast"/>
        </w:trPr>
        <w:tc>
          <w:tcPr>
            <w:tcW w:w="7444" w:type="dxa"/>
            <w:noWrap w:val="0"/>
            <w:vAlign w:val="center"/>
          </w:tcPr>
          <w:p w14:paraId="789DB843">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洗涤公司无特殊原因未及时到医院运送被服</w:t>
            </w:r>
          </w:p>
        </w:tc>
        <w:tc>
          <w:tcPr>
            <w:tcW w:w="2203" w:type="dxa"/>
            <w:noWrap w:val="0"/>
            <w:vAlign w:val="center"/>
          </w:tcPr>
          <w:p w14:paraId="6EB93A73">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100元/（次）（≥24小时，扣200元/次）</w:t>
            </w:r>
          </w:p>
        </w:tc>
      </w:tr>
      <w:tr w14:paraId="2969027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5" w:hRule="atLeast"/>
        </w:trPr>
        <w:tc>
          <w:tcPr>
            <w:tcW w:w="7444" w:type="dxa"/>
            <w:noWrap w:val="0"/>
            <w:vAlign w:val="center"/>
          </w:tcPr>
          <w:p w14:paraId="027F4F1C">
            <w:pPr>
              <w:keepNext w:val="0"/>
              <w:keepLines w:val="0"/>
              <w:pageBreakBefore w:val="0"/>
              <w:widowControl/>
              <w:kinsoku/>
              <w:wordWrap/>
              <w:overflowPunct/>
              <w:topLinePunct w:val="0"/>
              <w:autoSpaceDE/>
              <w:autoSpaceDN/>
              <w:bidi w:val="0"/>
              <w:adjustRightInd w:val="0"/>
              <w:snapToGrid w:val="0"/>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lang w:eastAsia="zh-CN"/>
              </w:rPr>
              <w:t>对甲方病区或科室反馈的问题未及时积极响应或者消极处理且未规定期间内整改的</w:t>
            </w:r>
          </w:p>
        </w:tc>
        <w:tc>
          <w:tcPr>
            <w:tcW w:w="2203" w:type="dxa"/>
            <w:noWrap w:val="0"/>
            <w:vAlign w:val="center"/>
          </w:tcPr>
          <w:p w14:paraId="659C1650">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20</w:t>
            </w:r>
            <w:r>
              <w:rPr>
                <w:rFonts w:hint="eastAsia" w:ascii="新宋体" w:hAnsi="新宋体" w:eastAsia="新宋体" w:cs="新宋体"/>
                <w:color w:val="auto"/>
                <w:kern w:val="0"/>
                <w:sz w:val="22"/>
                <w:szCs w:val="22"/>
                <w:highlight w:val="none"/>
                <w:lang w:val="en-US" w:eastAsia="zh-CN"/>
              </w:rPr>
              <w:t>0</w:t>
            </w:r>
            <w:r>
              <w:rPr>
                <w:rFonts w:hint="eastAsia" w:ascii="新宋体" w:hAnsi="新宋体" w:eastAsia="新宋体" w:cs="新宋体"/>
                <w:color w:val="auto"/>
                <w:kern w:val="0"/>
                <w:sz w:val="22"/>
                <w:szCs w:val="22"/>
                <w:highlight w:val="none"/>
              </w:rPr>
              <w:t>元/（次）</w:t>
            </w:r>
          </w:p>
        </w:tc>
      </w:tr>
    </w:tbl>
    <w:p w14:paraId="1927917B">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如不能及时补缺布草日常耗损并影响了院方的正常工作，将予以每次200</w:t>
      </w:r>
      <w:r>
        <w:rPr>
          <w:rFonts w:hint="eastAsia" w:ascii="新宋体" w:hAnsi="新宋体" w:eastAsia="新宋体" w:cs="新宋体"/>
          <w:b/>
          <w:bCs/>
          <w:color w:val="auto"/>
          <w:sz w:val="22"/>
          <w:szCs w:val="22"/>
          <w:highlight w:val="none"/>
          <w:lang w:val="en-US" w:eastAsia="zh-CN"/>
        </w:rPr>
        <w:t>-2000</w:t>
      </w:r>
      <w:r>
        <w:rPr>
          <w:rFonts w:hint="eastAsia" w:ascii="新宋体" w:hAnsi="新宋体" w:eastAsia="新宋体" w:cs="新宋体"/>
          <w:b/>
          <w:bCs/>
          <w:color w:val="auto"/>
          <w:sz w:val="22"/>
          <w:szCs w:val="22"/>
          <w:highlight w:val="none"/>
        </w:rPr>
        <w:t>元罚款</w:t>
      </w:r>
      <w:r>
        <w:rPr>
          <w:rFonts w:hint="eastAsia" w:ascii="新宋体" w:hAnsi="新宋体" w:eastAsia="新宋体" w:cs="新宋体"/>
          <w:color w:val="auto"/>
          <w:sz w:val="22"/>
          <w:szCs w:val="22"/>
          <w:highlight w:val="none"/>
        </w:rPr>
        <w:t>，罚扣款在下月的洗涤费中扣除。</w:t>
      </w:r>
    </w:p>
    <w:p w14:paraId="3C5A494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、中标人每季度须将本项目的洗涤物品送有资质的第三方公司/医院进行微生物采样检测，如检测不合格，将扣除该季度50%的服务费，连续二次检测不合格，将予以取消合同。</w:t>
      </w:r>
    </w:p>
    <w:p w14:paraId="7C2CAE3C">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snapToGrid w:val="0"/>
          <w:color w:val="auto"/>
          <w:kern w:val="0"/>
          <w:sz w:val="22"/>
          <w:szCs w:val="22"/>
          <w:highlight w:val="none"/>
        </w:rPr>
      </w:pPr>
      <w:r>
        <w:rPr>
          <w:rFonts w:hint="eastAsia" w:ascii="新宋体" w:hAnsi="新宋体" w:eastAsia="新宋体" w:cs="新宋体"/>
          <w:b/>
          <w:bCs/>
          <w:snapToGrid w:val="0"/>
          <w:color w:val="auto"/>
          <w:kern w:val="0"/>
          <w:sz w:val="22"/>
          <w:szCs w:val="22"/>
          <w:highlight w:val="none"/>
        </w:rPr>
        <w:t>（三）被服收发、运输、洗涤服务流程</w:t>
      </w:r>
    </w:p>
    <w:p w14:paraId="1AA913F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1、在被服收集环节上，使用封闭式不锈钢运送车进行收集、运送，以防止交叉感染。在被服发放方面，使用清洁布草专用车进行运送发放；</w:t>
      </w:r>
    </w:p>
    <w:p w14:paraId="3767721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2、在运输环节上，使用厢式密闭货车，实行污、洁布草隔离密闭运输；</w:t>
      </w:r>
    </w:p>
    <w:p w14:paraId="4FB61B0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洗涤时首先用含氯消毒剂进行消毒浸泡，继而煮沸、洗涤、烘干、烫平，被服布类要保证干净整洁，不得有血渍污垢，如发现不干净或有血渍的无条件退回重洗（如旧的布类老垢无法洗净的除外）。洗涤供应商运输车辆在接脏布草后，要进行一次消毒，然后再运干净的布草。但洁、脏袋必须分开使用。</w:t>
      </w:r>
    </w:p>
    <w:p w14:paraId="4CEBA3C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4、在洗涤流程上，实行先浸泡消毒30分钟—预洗5分钟—高温主洗40分钟—－氯漂15分钟—中和10分钟—脱干进行操作，严禁减漏工序或者缩减操作时间；</w:t>
      </w:r>
    </w:p>
    <w:p w14:paraId="145465A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在感染流程上，严格按分类清洗的要求清洗棉织品，医务人员使用的物品（工作服、值班室被服等）须独立洗涤，对于病人使用的物品要分为感染性、重污染，并通过不同颜色的包装袋分类包装，分类清洗，保证洗涤质量，防止交叉感染；</w:t>
      </w:r>
    </w:p>
    <w:p w14:paraId="5186443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6、在洗涤及消毒原料上，采用医院专用洗涤剂、消毒剂，严格控制投放剂量的准确性和及时性，确保消毒杀菌彻底；</w:t>
      </w:r>
    </w:p>
    <w:p w14:paraId="316D22B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7、在后道整理流程上，采用高温烘干120℃以上，消毒处理。</w:t>
      </w:r>
    </w:p>
    <w:p w14:paraId="714299A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snapToGrid w:val="0"/>
          <w:color w:val="auto"/>
          <w:kern w:val="0"/>
          <w:sz w:val="22"/>
          <w:szCs w:val="22"/>
          <w:highlight w:val="none"/>
        </w:rPr>
      </w:pPr>
      <w:r>
        <w:rPr>
          <w:rFonts w:hint="eastAsia" w:ascii="新宋体" w:hAnsi="新宋体" w:eastAsia="新宋体" w:cs="新宋体"/>
          <w:b/>
          <w:bCs/>
          <w:snapToGrid w:val="0"/>
          <w:color w:val="auto"/>
          <w:kern w:val="0"/>
          <w:sz w:val="22"/>
          <w:szCs w:val="22"/>
          <w:highlight w:val="none"/>
        </w:rPr>
        <w:t>（四）人员要求及管理制度</w:t>
      </w:r>
    </w:p>
    <w:p w14:paraId="02C8271C">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u w:val="single"/>
        </w:rPr>
        <w:t>投标人必须固定两人及以上人员负责医用洗涤品的分发、收集和管理，确保破损布草的及时更新，人员费用由中标人负责，在投标报价中综合考虑</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sz w:val="22"/>
          <w:szCs w:val="22"/>
          <w:highlight w:val="none"/>
          <w:lang w:eastAsia="zh-CN"/>
        </w:rPr>
        <w:t>并制定相关卫生管理制度及相关工作人员岗位职责。</w:t>
      </w:r>
    </w:p>
    <w:p w14:paraId="05D07AE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snapToGrid w:val="0"/>
          <w:color w:val="auto"/>
          <w:kern w:val="0"/>
          <w:sz w:val="22"/>
          <w:szCs w:val="22"/>
          <w:highlight w:val="none"/>
        </w:rPr>
      </w:pPr>
      <w:r>
        <w:rPr>
          <w:rFonts w:hint="eastAsia" w:ascii="新宋体" w:hAnsi="新宋体" w:eastAsia="新宋体" w:cs="新宋体"/>
          <w:b/>
          <w:bCs/>
          <w:snapToGrid w:val="0"/>
          <w:color w:val="auto"/>
          <w:kern w:val="0"/>
          <w:sz w:val="22"/>
          <w:szCs w:val="22"/>
          <w:highlight w:val="none"/>
        </w:rPr>
        <w:t>（五）洗涤方案</w:t>
      </w:r>
    </w:p>
    <w:p w14:paraId="2547516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1、收集</w:t>
      </w:r>
    </w:p>
    <w:p w14:paraId="717093F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1.1人员配备：需为本项目配备专业收集配送人员，专业负责布草的交接、汇总及发放工作。</w:t>
      </w:r>
    </w:p>
    <w:p w14:paraId="25D4E11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1.2工作程序：</w:t>
      </w:r>
    </w:p>
    <w:p w14:paraId="4E552E0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1.2.1工作服收集方面，在医院指定的被服收发站，与收集配送负责人交接清楚。然后由专用布草运输车配送到洗涤公司。</w:t>
      </w:r>
    </w:p>
    <w:p w14:paraId="6DB01A4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1.2.2工作服运送方面，使用不锈钢运送车进行单独运送，当物表和地面有明显血液、体液或分泌物污染时，应及时进行遮盖，消毒60min后收集，清理，然后用有效氯含量500mg-700mg/L的消毒液擦拭。</w:t>
      </w:r>
    </w:p>
    <w:p w14:paraId="0DC5B90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2、消毒、洗涤、烘干、整烫</w:t>
      </w:r>
    </w:p>
    <w:p w14:paraId="70199CB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2.1消毒</w:t>
      </w:r>
    </w:p>
    <w:p w14:paraId="53ACEFC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2.1.1设立消毒池，采用分类、分色、分质地消毒，将病用与医用，重污染与轻污染，不同颜色区别分池消毒。</w:t>
      </w:r>
    </w:p>
    <w:p w14:paraId="250E82A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2.1.2白色布草采用含氯消毒液消毒，有色布草采用过氧化氢消毒液按照标准配比，规定时间浸泡消毒。消毒一般污染物品有效氯含量≥250mg/L，浸泡消毒时间大于30分钟，消毒重污染物品有效氯含量≥500 mg/L，煮沸消毒为30分钟以上，洗涤时间为1小时。烈性传染病污染的衣物，封闭运输，先压力蒸汽灭菌消毒后再清洗或焚烧处理。</w:t>
      </w:r>
    </w:p>
    <w:p w14:paraId="23FCFEE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2.2洗涤</w:t>
      </w:r>
    </w:p>
    <w:p w14:paraId="410E34A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2.2.1洗涤流程分为分检、洗涤、烘干、熨烫、修补、折叠等六个程序。</w:t>
      </w:r>
    </w:p>
    <w:p w14:paraId="5228D4A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2.2.2洗涤周期包括预洗、主洗、漂洗、中和、整理等五个步骤。</w:t>
      </w:r>
    </w:p>
    <w:p w14:paraId="1FAB663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2.2.3沾染病人的血液、体液、分泌物、排泄物的布草均具有传染性，洗涤时应注意防护，同时不同布草应分类洗涤，防止交叉感染。</w:t>
      </w:r>
    </w:p>
    <w:p w14:paraId="397EC72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2.2.4分检时应依布草的来源不同，分为病人布草和工作人员布草。病人布草包括一般布草、有明显污染的布草。洗涤要求：工作人员布草和病人布草应分机清洗或分批清洗；有明显污染的布草应专机清洗。</w:t>
      </w:r>
    </w:p>
    <w:p w14:paraId="4BD163B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2.2.5每台洗衣机上需有醒目标识,严格实行专机专洗。</w:t>
      </w:r>
    </w:p>
    <w:p w14:paraId="00077CF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2.2.6洗涤方式：</w:t>
      </w:r>
    </w:p>
    <w:p w14:paraId="6E20002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全棉布草洗涤程序：（投标人需完善下表数据）</w:t>
      </w:r>
    </w:p>
    <w:tbl>
      <w:tblPr>
        <w:tblStyle w:val="53"/>
        <w:tblW w:w="0" w:type="auto"/>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260"/>
        <w:gridCol w:w="1572"/>
        <w:gridCol w:w="948"/>
        <w:gridCol w:w="1260"/>
        <w:gridCol w:w="1440"/>
        <w:gridCol w:w="1068"/>
        <w:gridCol w:w="1272"/>
      </w:tblGrid>
      <w:tr w14:paraId="15E0D65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260" w:type="dxa"/>
            <w:noWrap w:val="0"/>
            <w:vAlign w:val="center"/>
          </w:tcPr>
          <w:p w14:paraId="4017FFC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程序</w:t>
            </w:r>
          </w:p>
        </w:tc>
        <w:tc>
          <w:tcPr>
            <w:tcW w:w="1572" w:type="dxa"/>
            <w:noWrap w:val="0"/>
            <w:vAlign w:val="center"/>
          </w:tcPr>
          <w:p w14:paraId="58F386A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水位</w:t>
            </w:r>
          </w:p>
        </w:tc>
        <w:tc>
          <w:tcPr>
            <w:tcW w:w="948" w:type="dxa"/>
            <w:noWrap w:val="0"/>
            <w:vAlign w:val="center"/>
          </w:tcPr>
          <w:p w14:paraId="714A530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温度</w:t>
            </w:r>
          </w:p>
        </w:tc>
        <w:tc>
          <w:tcPr>
            <w:tcW w:w="1260" w:type="dxa"/>
            <w:noWrap w:val="0"/>
            <w:vAlign w:val="center"/>
          </w:tcPr>
          <w:p w14:paraId="1CA9BAD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时间（分）</w:t>
            </w:r>
          </w:p>
        </w:tc>
        <w:tc>
          <w:tcPr>
            <w:tcW w:w="1440" w:type="dxa"/>
            <w:noWrap w:val="0"/>
            <w:vAlign w:val="center"/>
          </w:tcPr>
          <w:p w14:paraId="0442E19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洗涤原料</w:t>
            </w:r>
          </w:p>
        </w:tc>
        <w:tc>
          <w:tcPr>
            <w:tcW w:w="1068" w:type="dxa"/>
            <w:noWrap w:val="0"/>
            <w:vAlign w:val="center"/>
          </w:tcPr>
          <w:p w14:paraId="041A065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用量</w:t>
            </w:r>
          </w:p>
        </w:tc>
        <w:tc>
          <w:tcPr>
            <w:tcW w:w="1272" w:type="dxa"/>
            <w:noWrap w:val="0"/>
            <w:vAlign w:val="top"/>
          </w:tcPr>
          <w:p w14:paraId="325246E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备注</w:t>
            </w:r>
          </w:p>
        </w:tc>
      </w:tr>
      <w:tr w14:paraId="4551441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260" w:type="dxa"/>
            <w:noWrap w:val="0"/>
            <w:vAlign w:val="center"/>
          </w:tcPr>
          <w:p w14:paraId="4405B22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装机容量</w:t>
            </w:r>
          </w:p>
        </w:tc>
        <w:tc>
          <w:tcPr>
            <w:tcW w:w="1572" w:type="dxa"/>
            <w:noWrap w:val="0"/>
            <w:vAlign w:val="top"/>
          </w:tcPr>
          <w:p w14:paraId="624B0FCD">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948" w:type="dxa"/>
            <w:noWrap w:val="0"/>
            <w:vAlign w:val="top"/>
          </w:tcPr>
          <w:p w14:paraId="080B0FC2">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260" w:type="dxa"/>
            <w:noWrap w:val="0"/>
            <w:vAlign w:val="top"/>
          </w:tcPr>
          <w:p w14:paraId="00809400">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440" w:type="dxa"/>
            <w:noWrap w:val="0"/>
            <w:vAlign w:val="top"/>
          </w:tcPr>
          <w:p w14:paraId="6D88BA64">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068" w:type="dxa"/>
            <w:noWrap w:val="0"/>
            <w:vAlign w:val="top"/>
          </w:tcPr>
          <w:p w14:paraId="158A0683">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272" w:type="dxa"/>
            <w:noWrap w:val="0"/>
            <w:vAlign w:val="top"/>
          </w:tcPr>
          <w:p w14:paraId="7C04CD9C">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r>
      <w:tr w14:paraId="3E5BB66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260" w:type="dxa"/>
            <w:noWrap w:val="0"/>
            <w:vAlign w:val="center"/>
          </w:tcPr>
          <w:p w14:paraId="798454A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预洗</w:t>
            </w:r>
          </w:p>
        </w:tc>
        <w:tc>
          <w:tcPr>
            <w:tcW w:w="1572" w:type="dxa"/>
            <w:noWrap w:val="0"/>
            <w:vAlign w:val="center"/>
          </w:tcPr>
          <w:p w14:paraId="4364FA6C">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948" w:type="dxa"/>
            <w:noWrap w:val="0"/>
            <w:vAlign w:val="center"/>
          </w:tcPr>
          <w:p w14:paraId="6C327EDB">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260" w:type="dxa"/>
            <w:noWrap w:val="0"/>
            <w:vAlign w:val="center"/>
          </w:tcPr>
          <w:p w14:paraId="6B0DAA08">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440" w:type="dxa"/>
            <w:noWrap w:val="0"/>
            <w:vAlign w:val="center"/>
          </w:tcPr>
          <w:p w14:paraId="56588087">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068" w:type="dxa"/>
            <w:noWrap w:val="0"/>
            <w:vAlign w:val="center"/>
          </w:tcPr>
          <w:p w14:paraId="3551FF73">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272" w:type="dxa"/>
            <w:noWrap w:val="0"/>
            <w:vAlign w:val="top"/>
          </w:tcPr>
          <w:p w14:paraId="3C877EED">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r>
      <w:tr w14:paraId="4F357E3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260" w:type="dxa"/>
            <w:noWrap w:val="0"/>
            <w:vAlign w:val="top"/>
          </w:tcPr>
          <w:p w14:paraId="30C7CA2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主洗</w:t>
            </w:r>
          </w:p>
        </w:tc>
        <w:tc>
          <w:tcPr>
            <w:tcW w:w="1572" w:type="dxa"/>
            <w:noWrap w:val="0"/>
            <w:vAlign w:val="center"/>
          </w:tcPr>
          <w:p w14:paraId="116F7432">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948" w:type="dxa"/>
            <w:noWrap w:val="0"/>
            <w:vAlign w:val="center"/>
          </w:tcPr>
          <w:p w14:paraId="2D73EFA3">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260" w:type="dxa"/>
            <w:noWrap w:val="0"/>
            <w:vAlign w:val="center"/>
          </w:tcPr>
          <w:p w14:paraId="63317A60">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440" w:type="dxa"/>
            <w:noWrap w:val="0"/>
            <w:vAlign w:val="center"/>
          </w:tcPr>
          <w:p w14:paraId="31831553">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068" w:type="dxa"/>
            <w:noWrap w:val="0"/>
            <w:vAlign w:val="center"/>
          </w:tcPr>
          <w:p w14:paraId="1C06E7DC">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272" w:type="dxa"/>
            <w:noWrap w:val="0"/>
            <w:vAlign w:val="top"/>
          </w:tcPr>
          <w:p w14:paraId="3E995E43">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r>
      <w:tr w14:paraId="3042486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260" w:type="dxa"/>
            <w:noWrap w:val="0"/>
            <w:vAlign w:val="center"/>
          </w:tcPr>
          <w:p w14:paraId="1003E1B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氧漂</w:t>
            </w:r>
          </w:p>
        </w:tc>
        <w:tc>
          <w:tcPr>
            <w:tcW w:w="1572" w:type="dxa"/>
            <w:noWrap w:val="0"/>
            <w:vAlign w:val="center"/>
          </w:tcPr>
          <w:p w14:paraId="4CB5F3A5">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948" w:type="dxa"/>
            <w:noWrap w:val="0"/>
            <w:vAlign w:val="center"/>
          </w:tcPr>
          <w:p w14:paraId="0138E4B5">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260" w:type="dxa"/>
            <w:noWrap w:val="0"/>
            <w:vAlign w:val="center"/>
          </w:tcPr>
          <w:p w14:paraId="734EC7F0">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440" w:type="dxa"/>
            <w:noWrap w:val="0"/>
            <w:vAlign w:val="center"/>
          </w:tcPr>
          <w:p w14:paraId="7320B68B">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068" w:type="dxa"/>
            <w:noWrap w:val="0"/>
            <w:vAlign w:val="center"/>
          </w:tcPr>
          <w:p w14:paraId="2A41FC46">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272" w:type="dxa"/>
            <w:noWrap w:val="0"/>
            <w:vAlign w:val="top"/>
          </w:tcPr>
          <w:p w14:paraId="55A4533C">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r>
      <w:tr w14:paraId="752B366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260" w:type="dxa"/>
            <w:noWrap w:val="0"/>
            <w:vAlign w:val="center"/>
          </w:tcPr>
          <w:p w14:paraId="546356F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过水</w:t>
            </w:r>
          </w:p>
        </w:tc>
        <w:tc>
          <w:tcPr>
            <w:tcW w:w="1572" w:type="dxa"/>
            <w:noWrap w:val="0"/>
            <w:vAlign w:val="center"/>
          </w:tcPr>
          <w:p w14:paraId="0D43C4A8">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948" w:type="dxa"/>
            <w:noWrap w:val="0"/>
            <w:vAlign w:val="center"/>
          </w:tcPr>
          <w:p w14:paraId="5C5C69BA">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260" w:type="dxa"/>
            <w:noWrap w:val="0"/>
            <w:vAlign w:val="center"/>
          </w:tcPr>
          <w:p w14:paraId="7B1CF124">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440" w:type="dxa"/>
            <w:noWrap w:val="0"/>
            <w:vAlign w:val="center"/>
          </w:tcPr>
          <w:p w14:paraId="351EB3C4">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068" w:type="dxa"/>
            <w:noWrap w:val="0"/>
            <w:vAlign w:val="center"/>
          </w:tcPr>
          <w:p w14:paraId="649B3ACF">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272" w:type="dxa"/>
            <w:noWrap w:val="0"/>
            <w:vAlign w:val="top"/>
          </w:tcPr>
          <w:p w14:paraId="4AB4D44C">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r>
      <w:tr w14:paraId="710AD8B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260" w:type="dxa"/>
            <w:noWrap w:val="0"/>
            <w:vAlign w:val="center"/>
          </w:tcPr>
          <w:p w14:paraId="64A4D2B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中脱</w:t>
            </w:r>
          </w:p>
        </w:tc>
        <w:tc>
          <w:tcPr>
            <w:tcW w:w="1572" w:type="dxa"/>
            <w:noWrap w:val="0"/>
            <w:vAlign w:val="center"/>
          </w:tcPr>
          <w:p w14:paraId="55A8BA86">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948" w:type="dxa"/>
            <w:noWrap w:val="0"/>
            <w:vAlign w:val="center"/>
          </w:tcPr>
          <w:p w14:paraId="7FA10CC8">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260" w:type="dxa"/>
            <w:noWrap w:val="0"/>
            <w:vAlign w:val="center"/>
          </w:tcPr>
          <w:p w14:paraId="0DAC7A36">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440" w:type="dxa"/>
            <w:noWrap w:val="0"/>
            <w:vAlign w:val="center"/>
          </w:tcPr>
          <w:p w14:paraId="76B1E79B">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068" w:type="dxa"/>
            <w:noWrap w:val="0"/>
            <w:vAlign w:val="center"/>
          </w:tcPr>
          <w:p w14:paraId="372A11C3">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272" w:type="dxa"/>
            <w:noWrap w:val="0"/>
            <w:vAlign w:val="top"/>
          </w:tcPr>
          <w:p w14:paraId="4407621B">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r>
      <w:tr w14:paraId="70C6B2C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260" w:type="dxa"/>
            <w:noWrap w:val="0"/>
            <w:vAlign w:val="center"/>
          </w:tcPr>
          <w:p w14:paraId="0C76888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过水</w:t>
            </w:r>
          </w:p>
        </w:tc>
        <w:tc>
          <w:tcPr>
            <w:tcW w:w="1572" w:type="dxa"/>
            <w:noWrap w:val="0"/>
            <w:vAlign w:val="center"/>
          </w:tcPr>
          <w:p w14:paraId="713868C0">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948" w:type="dxa"/>
            <w:noWrap w:val="0"/>
            <w:vAlign w:val="center"/>
          </w:tcPr>
          <w:p w14:paraId="7FFD7C50">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260" w:type="dxa"/>
            <w:noWrap w:val="0"/>
            <w:vAlign w:val="center"/>
          </w:tcPr>
          <w:p w14:paraId="161237DA">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440" w:type="dxa"/>
            <w:noWrap w:val="0"/>
            <w:vAlign w:val="center"/>
          </w:tcPr>
          <w:p w14:paraId="3ABAF478">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068" w:type="dxa"/>
            <w:noWrap w:val="0"/>
            <w:vAlign w:val="center"/>
          </w:tcPr>
          <w:p w14:paraId="5249DE91">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272" w:type="dxa"/>
            <w:noWrap w:val="0"/>
            <w:vAlign w:val="top"/>
          </w:tcPr>
          <w:p w14:paraId="000DFDF0">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r>
      <w:tr w14:paraId="01C2E44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260" w:type="dxa"/>
            <w:noWrap w:val="0"/>
            <w:vAlign w:val="center"/>
          </w:tcPr>
          <w:p w14:paraId="30E0C3B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中和</w:t>
            </w:r>
          </w:p>
        </w:tc>
        <w:tc>
          <w:tcPr>
            <w:tcW w:w="1572" w:type="dxa"/>
            <w:noWrap w:val="0"/>
            <w:vAlign w:val="center"/>
          </w:tcPr>
          <w:p w14:paraId="3317BF10">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948" w:type="dxa"/>
            <w:noWrap w:val="0"/>
            <w:vAlign w:val="center"/>
          </w:tcPr>
          <w:p w14:paraId="371D4332">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260" w:type="dxa"/>
            <w:noWrap w:val="0"/>
            <w:vAlign w:val="center"/>
          </w:tcPr>
          <w:p w14:paraId="2B3FCA58">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440" w:type="dxa"/>
            <w:noWrap w:val="0"/>
            <w:vAlign w:val="center"/>
          </w:tcPr>
          <w:p w14:paraId="235DD540">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068" w:type="dxa"/>
            <w:noWrap w:val="0"/>
            <w:vAlign w:val="center"/>
          </w:tcPr>
          <w:p w14:paraId="72B98378">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272" w:type="dxa"/>
            <w:noWrap w:val="0"/>
            <w:vAlign w:val="center"/>
          </w:tcPr>
          <w:p w14:paraId="0B61A980">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r>
      <w:tr w14:paraId="01922C5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260" w:type="dxa"/>
            <w:noWrap w:val="0"/>
            <w:vAlign w:val="top"/>
          </w:tcPr>
          <w:p w14:paraId="6A7067F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高脱</w:t>
            </w:r>
          </w:p>
        </w:tc>
        <w:tc>
          <w:tcPr>
            <w:tcW w:w="1572" w:type="dxa"/>
            <w:noWrap w:val="0"/>
            <w:vAlign w:val="top"/>
          </w:tcPr>
          <w:p w14:paraId="3DAAC247">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948" w:type="dxa"/>
            <w:noWrap w:val="0"/>
            <w:vAlign w:val="top"/>
          </w:tcPr>
          <w:p w14:paraId="0DEC20BD">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260" w:type="dxa"/>
            <w:noWrap w:val="0"/>
            <w:vAlign w:val="top"/>
          </w:tcPr>
          <w:p w14:paraId="22BE49D4">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440" w:type="dxa"/>
            <w:noWrap w:val="0"/>
            <w:vAlign w:val="top"/>
          </w:tcPr>
          <w:p w14:paraId="7CD47AB5">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068" w:type="dxa"/>
            <w:noWrap w:val="0"/>
            <w:vAlign w:val="top"/>
          </w:tcPr>
          <w:p w14:paraId="10B154C2">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1272" w:type="dxa"/>
            <w:noWrap w:val="0"/>
            <w:vAlign w:val="top"/>
          </w:tcPr>
          <w:p w14:paraId="61B2B497">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r>
    </w:tbl>
    <w:p w14:paraId="4DE84F1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涤棉布草（工作服）洗涤程序：（投标人需完善下表数据）</w:t>
      </w:r>
    </w:p>
    <w:tbl>
      <w:tblPr>
        <w:tblStyle w:val="53"/>
        <w:tblW w:w="0" w:type="auto"/>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260"/>
        <w:gridCol w:w="1584"/>
        <w:gridCol w:w="964"/>
        <w:gridCol w:w="1267"/>
        <w:gridCol w:w="1348"/>
        <w:gridCol w:w="1137"/>
        <w:gridCol w:w="1260"/>
      </w:tblGrid>
      <w:tr w14:paraId="7CA00FC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260" w:type="dxa"/>
            <w:noWrap w:val="0"/>
            <w:vAlign w:val="center"/>
          </w:tcPr>
          <w:p w14:paraId="1702A51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程序</w:t>
            </w:r>
          </w:p>
        </w:tc>
        <w:tc>
          <w:tcPr>
            <w:tcW w:w="1584" w:type="dxa"/>
            <w:noWrap w:val="0"/>
            <w:vAlign w:val="center"/>
          </w:tcPr>
          <w:p w14:paraId="202A889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水位</w:t>
            </w:r>
          </w:p>
        </w:tc>
        <w:tc>
          <w:tcPr>
            <w:tcW w:w="964" w:type="dxa"/>
            <w:noWrap w:val="0"/>
            <w:vAlign w:val="center"/>
          </w:tcPr>
          <w:p w14:paraId="7D4E144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温度</w:t>
            </w:r>
          </w:p>
        </w:tc>
        <w:tc>
          <w:tcPr>
            <w:tcW w:w="1267" w:type="dxa"/>
            <w:noWrap w:val="0"/>
            <w:vAlign w:val="center"/>
          </w:tcPr>
          <w:p w14:paraId="427CFA8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时间（分）</w:t>
            </w:r>
          </w:p>
        </w:tc>
        <w:tc>
          <w:tcPr>
            <w:tcW w:w="1348" w:type="dxa"/>
            <w:noWrap w:val="0"/>
            <w:vAlign w:val="center"/>
          </w:tcPr>
          <w:p w14:paraId="55A9BE7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洗涤原料</w:t>
            </w:r>
          </w:p>
        </w:tc>
        <w:tc>
          <w:tcPr>
            <w:tcW w:w="1137" w:type="dxa"/>
            <w:noWrap w:val="0"/>
            <w:vAlign w:val="center"/>
          </w:tcPr>
          <w:p w14:paraId="2983A25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用量</w:t>
            </w:r>
          </w:p>
        </w:tc>
        <w:tc>
          <w:tcPr>
            <w:tcW w:w="1260" w:type="dxa"/>
            <w:noWrap w:val="0"/>
            <w:vAlign w:val="top"/>
          </w:tcPr>
          <w:p w14:paraId="5C40BBF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备注</w:t>
            </w:r>
          </w:p>
        </w:tc>
      </w:tr>
      <w:tr w14:paraId="10B599E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260" w:type="dxa"/>
            <w:noWrap w:val="0"/>
            <w:vAlign w:val="center"/>
          </w:tcPr>
          <w:p w14:paraId="3A07B0B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装机容量</w:t>
            </w:r>
          </w:p>
        </w:tc>
        <w:tc>
          <w:tcPr>
            <w:tcW w:w="1584" w:type="dxa"/>
            <w:noWrap w:val="0"/>
            <w:vAlign w:val="center"/>
          </w:tcPr>
          <w:p w14:paraId="3F312ACF">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964" w:type="dxa"/>
            <w:noWrap w:val="0"/>
            <w:vAlign w:val="top"/>
          </w:tcPr>
          <w:p w14:paraId="0869CB1B">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267" w:type="dxa"/>
            <w:noWrap w:val="0"/>
            <w:vAlign w:val="top"/>
          </w:tcPr>
          <w:p w14:paraId="2E63EC04">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348" w:type="dxa"/>
            <w:noWrap w:val="0"/>
            <w:vAlign w:val="top"/>
          </w:tcPr>
          <w:p w14:paraId="36E7F998">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137" w:type="dxa"/>
            <w:noWrap w:val="0"/>
            <w:vAlign w:val="top"/>
          </w:tcPr>
          <w:p w14:paraId="4BE445D2">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260" w:type="dxa"/>
            <w:noWrap w:val="0"/>
            <w:vAlign w:val="top"/>
          </w:tcPr>
          <w:p w14:paraId="744CDB0F">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r>
      <w:tr w14:paraId="339E24A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260" w:type="dxa"/>
            <w:noWrap w:val="0"/>
            <w:vAlign w:val="center"/>
          </w:tcPr>
          <w:p w14:paraId="61AE5D0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预洗</w:t>
            </w:r>
          </w:p>
        </w:tc>
        <w:tc>
          <w:tcPr>
            <w:tcW w:w="1584" w:type="dxa"/>
            <w:noWrap w:val="0"/>
            <w:vAlign w:val="center"/>
          </w:tcPr>
          <w:p w14:paraId="6D19FB91">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964" w:type="dxa"/>
            <w:noWrap w:val="0"/>
            <w:vAlign w:val="center"/>
          </w:tcPr>
          <w:p w14:paraId="7ED91F75">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267" w:type="dxa"/>
            <w:noWrap w:val="0"/>
            <w:vAlign w:val="center"/>
          </w:tcPr>
          <w:p w14:paraId="585E840E">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348" w:type="dxa"/>
            <w:noWrap w:val="0"/>
            <w:vAlign w:val="center"/>
          </w:tcPr>
          <w:p w14:paraId="0B8082D6">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137" w:type="dxa"/>
            <w:noWrap w:val="0"/>
            <w:vAlign w:val="center"/>
          </w:tcPr>
          <w:p w14:paraId="693FBA52">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260" w:type="dxa"/>
            <w:noWrap w:val="0"/>
            <w:vAlign w:val="top"/>
          </w:tcPr>
          <w:p w14:paraId="1C9284EA">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r>
      <w:tr w14:paraId="49402C1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260" w:type="dxa"/>
            <w:noWrap w:val="0"/>
            <w:vAlign w:val="center"/>
          </w:tcPr>
          <w:p w14:paraId="357AA78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主洗</w:t>
            </w:r>
          </w:p>
        </w:tc>
        <w:tc>
          <w:tcPr>
            <w:tcW w:w="1584" w:type="dxa"/>
            <w:noWrap w:val="0"/>
            <w:vAlign w:val="center"/>
          </w:tcPr>
          <w:p w14:paraId="0B20DC62">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964" w:type="dxa"/>
            <w:noWrap w:val="0"/>
            <w:vAlign w:val="center"/>
          </w:tcPr>
          <w:p w14:paraId="04A6A89A">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267" w:type="dxa"/>
            <w:noWrap w:val="0"/>
            <w:vAlign w:val="center"/>
          </w:tcPr>
          <w:p w14:paraId="287C6A34">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348" w:type="dxa"/>
            <w:noWrap w:val="0"/>
            <w:vAlign w:val="center"/>
          </w:tcPr>
          <w:p w14:paraId="51B9FB34">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137" w:type="dxa"/>
            <w:noWrap w:val="0"/>
            <w:vAlign w:val="center"/>
          </w:tcPr>
          <w:p w14:paraId="195099FC">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260" w:type="dxa"/>
            <w:noWrap w:val="0"/>
            <w:vAlign w:val="top"/>
          </w:tcPr>
          <w:p w14:paraId="43B9B9F2">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r>
      <w:tr w14:paraId="0A16091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260" w:type="dxa"/>
            <w:noWrap w:val="0"/>
            <w:vAlign w:val="center"/>
          </w:tcPr>
          <w:p w14:paraId="6EA076D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过水</w:t>
            </w:r>
          </w:p>
        </w:tc>
        <w:tc>
          <w:tcPr>
            <w:tcW w:w="1584" w:type="dxa"/>
            <w:noWrap w:val="0"/>
            <w:vAlign w:val="center"/>
          </w:tcPr>
          <w:p w14:paraId="1C8B194F">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964" w:type="dxa"/>
            <w:noWrap w:val="0"/>
            <w:vAlign w:val="center"/>
          </w:tcPr>
          <w:p w14:paraId="7B5B615B">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267" w:type="dxa"/>
            <w:noWrap w:val="0"/>
            <w:vAlign w:val="center"/>
          </w:tcPr>
          <w:p w14:paraId="7B8E8A92">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348" w:type="dxa"/>
            <w:noWrap w:val="0"/>
            <w:vAlign w:val="center"/>
          </w:tcPr>
          <w:p w14:paraId="40FCCB86">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137" w:type="dxa"/>
            <w:noWrap w:val="0"/>
            <w:vAlign w:val="center"/>
          </w:tcPr>
          <w:p w14:paraId="22120C0F">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260" w:type="dxa"/>
            <w:noWrap w:val="0"/>
            <w:vAlign w:val="center"/>
          </w:tcPr>
          <w:p w14:paraId="31A0BA4E">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r>
      <w:tr w14:paraId="610A851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260" w:type="dxa"/>
            <w:noWrap w:val="0"/>
            <w:vAlign w:val="center"/>
          </w:tcPr>
          <w:p w14:paraId="1953C60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过水</w:t>
            </w:r>
          </w:p>
        </w:tc>
        <w:tc>
          <w:tcPr>
            <w:tcW w:w="1584" w:type="dxa"/>
            <w:noWrap w:val="0"/>
            <w:vAlign w:val="center"/>
          </w:tcPr>
          <w:p w14:paraId="5D862FD3">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964" w:type="dxa"/>
            <w:noWrap w:val="0"/>
            <w:vAlign w:val="center"/>
          </w:tcPr>
          <w:p w14:paraId="53147224">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267" w:type="dxa"/>
            <w:noWrap w:val="0"/>
            <w:vAlign w:val="center"/>
          </w:tcPr>
          <w:p w14:paraId="6536EA30">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348" w:type="dxa"/>
            <w:noWrap w:val="0"/>
            <w:vAlign w:val="center"/>
          </w:tcPr>
          <w:p w14:paraId="3DA6605A">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137" w:type="dxa"/>
            <w:noWrap w:val="0"/>
            <w:vAlign w:val="center"/>
          </w:tcPr>
          <w:p w14:paraId="14F1449A">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260" w:type="dxa"/>
            <w:noWrap w:val="0"/>
            <w:vAlign w:val="top"/>
          </w:tcPr>
          <w:p w14:paraId="4588F7CB">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r>
      <w:tr w14:paraId="1B18DD5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260" w:type="dxa"/>
            <w:noWrap w:val="0"/>
            <w:vAlign w:val="center"/>
          </w:tcPr>
          <w:p w14:paraId="5054567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过水</w:t>
            </w:r>
          </w:p>
        </w:tc>
        <w:tc>
          <w:tcPr>
            <w:tcW w:w="1584" w:type="dxa"/>
            <w:noWrap w:val="0"/>
            <w:vAlign w:val="center"/>
          </w:tcPr>
          <w:p w14:paraId="62CC3232">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964" w:type="dxa"/>
            <w:noWrap w:val="0"/>
            <w:vAlign w:val="center"/>
          </w:tcPr>
          <w:p w14:paraId="072F8B1C">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267" w:type="dxa"/>
            <w:noWrap w:val="0"/>
            <w:vAlign w:val="center"/>
          </w:tcPr>
          <w:p w14:paraId="4229C416">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348" w:type="dxa"/>
            <w:noWrap w:val="0"/>
            <w:vAlign w:val="center"/>
          </w:tcPr>
          <w:p w14:paraId="22C5AF11">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137" w:type="dxa"/>
            <w:noWrap w:val="0"/>
            <w:vAlign w:val="center"/>
          </w:tcPr>
          <w:p w14:paraId="248FB688">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260" w:type="dxa"/>
            <w:noWrap w:val="0"/>
            <w:vAlign w:val="top"/>
          </w:tcPr>
          <w:p w14:paraId="6D50DD5A">
            <w:pPr>
              <w:keepNext w:val="0"/>
              <w:keepLines w:val="0"/>
              <w:pageBreakBefore w:val="0"/>
              <w:widowControl w:val="0"/>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r>
      <w:tr w14:paraId="4936412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260" w:type="dxa"/>
            <w:noWrap w:val="0"/>
            <w:vAlign w:val="top"/>
          </w:tcPr>
          <w:p w14:paraId="2F7C6A14">
            <w:pPr>
              <w:keepNext w:val="0"/>
              <w:keepLines w:val="0"/>
              <w:pageBreakBefore w:val="0"/>
              <w:widowControl w:val="0"/>
              <w:tabs>
                <w:tab w:val="left" w:pos="720"/>
              </w:tabs>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中脱</w:t>
            </w:r>
          </w:p>
        </w:tc>
        <w:tc>
          <w:tcPr>
            <w:tcW w:w="1584" w:type="dxa"/>
            <w:noWrap w:val="0"/>
            <w:vAlign w:val="top"/>
          </w:tcPr>
          <w:p w14:paraId="1423EF75">
            <w:pPr>
              <w:keepNext w:val="0"/>
              <w:keepLines w:val="0"/>
              <w:pageBreakBefore w:val="0"/>
              <w:widowControl w:val="0"/>
              <w:tabs>
                <w:tab w:val="left" w:pos="720"/>
              </w:tabs>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964" w:type="dxa"/>
            <w:noWrap w:val="0"/>
            <w:vAlign w:val="top"/>
          </w:tcPr>
          <w:p w14:paraId="1BAAF4A2">
            <w:pPr>
              <w:keepNext w:val="0"/>
              <w:keepLines w:val="0"/>
              <w:pageBreakBefore w:val="0"/>
              <w:widowControl w:val="0"/>
              <w:tabs>
                <w:tab w:val="left" w:pos="720"/>
              </w:tabs>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267" w:type="dxa"/>
            <w:noWrap w:val="0"/>
            <w:vAlign w:val="top"/>
          </w:tcPr>
          <w:p w14:paraId="413DEDF9">
            <w:pPr>
              <w:keepNext w:val="0"/>
              <w:keepLines w:val="0"/>
              <w:pageBreakBefore w:val="0"/>
              <w:widowControl w:val="0"/>
              <w:tabs>
                <w:tab w:val="left" w:pos="720"/>
              </w:tabs>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348" w:type="dxa"/>
            <w:noWrap w:val="0"/>
            <w:vAlign w:val="top"/>
          </w:tcPr>
          <w:p w14:paraId="64779933">
            <w:pPr>
              <w:keepNext w:val="0"/>
              <w:keepLines w:val="0"/>
              <w:pageBreakBefore w:val="0"/>
              <w:widowControl w:val="0"/>
              <w:tabs>
                <w:tab w:val="left" w:pos="720"/>
              </w:tabs>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137" w:type="dxa"/>
            <w:noWrap w:val="0"/>
            <w:vAlign w:val="top"/>
          </w:tcPr>
          <w:p w14:paraId="7BA16857">
            <w:pPr>
              <w:keepNext w:val="0"/>
              <w:keepLines w:val="0"/>
              <w:pageBreakBefore w:val="0"/>
              <w:widowControl w:val="0"/>
              <w:tabs>
                <w:tab w:val="left" w:pos="720"/>
              </w:tabs>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c>
          <w:tcPr>
            <w:tcW w:w="1260" w:type="dxa"/>
            <w:noWrap w:val="0"/>
            <w:vAlign w:val="center"/>
          </w:tcPr>
          <w:p w14:paraId="470E63F0">
            <w:pPr>
              <w:keepNext w:val="0"/>
              <w:keepLines w:val="0"/>
              <w:pageBreakBefore w:val="0"/>
              <w:widowControl w:val="0"/>
              <w:tabs>
                <w:tab w:val="left" w:pos="720"/>
              </w:tabs>
              <w:kinsoku/>
              <w:wordWrap/>
              <w:overflowPunct/>
              <w:topLinePunct w:val="0"/>
              <w:autoSpaceDE/>
              <w:autoSpaceDN/>
              <w:bidi w:val="0"/>
              <w:adjustRightInd/>
              <w:snapToGrid/>
              <w:spacing w:line="460" w:lineRule="exact"/>
              <w:ind w:left="424" w:leftChars="202" w:firstLine="2"/>
              <w:textAlignment w:val="auto"/>
              <w:rPr>
                <w:rFonts w:hint="eastAsia" w:ascii="新宋体" w:hAnsi="新宋体" w:eastAsia="新宋体" w:cs="新宋体"/>
                <w:color w:val="auto"/>
                <w:sz w:val="22"/>
                <w:szCs w:val="22"/>
                <w:highlight w:val="none"/>
              </w:rPr>
            </w:pPr>
          </w:p>
        </w:tc>
      </w:tr>
    </w:tbl>
    <w:p w14:paraId="1C507D3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2.3烘干：（投标人需完善下表数据）</w:t>
      </w:r>
    </w:p>
    <w:tbl>
      <w:tblPr>
        <w:tblStyle w:val="53"/>
        <w:tblW w:w="0" w:type="auto"/>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320"/>
        <w:gridCol w:w="3060"/>
        <w:gridCol w:w="4440"/>
      </w:tblGrid>
      <w:tr w14:paraId="52E54E7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320" w:type="dxa"/>
            <w:noWrap w:val="0"/>
            <w:vAlign w:val="top"/>
          </w:tcPr>
          <w:p w14:paraId="3745957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面料</w:t>
            </w:r>
          </w:p>
        </w:tc>
        <w:tc>
          <w:tcPr>
            <w:tcW w:w="3060" w:type="dxa"/>
            <w:noWrap w:val="0"/>
            <w:vAlign w:val="top"/>
          </w:tcPr>
          <w:p w14:paraId="687DD05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全棉</w:t>
            </w:r>
          </w:p>
        </w:tc>
        <w:tc>
          <w:tcPr>
            <w:tcW w:w="4440" w:type="dxa"/>
            <w:noWrap w:val="0"/>
            <w:vAlign w:val="top"/>
          </w:tcPr>
          <w:p w14:paraId="523D196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涤棉（工作服）</w:t>
            </w:r>
          </w:p>
        </w:tc>
      </w:tr>
      <w:tr w14:paraId="3E89D6B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320" w:type="dxa"/>
            <w:noWrap w:val="0"/>
            <w:vAlign w:val="top"/>
          </w:tcPr>
          <w:p w14:paraId="171CCF6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烘干方式</w:t>
            </w:r>
          </w:p>
        </w:tc>
        <w:tc>
          <w:tcPr>
            <w:tcW w:w="3060" w:type="dxa"/>
            <w:noWrap w:val="0"/>
            <w:vAlign w:val="top"/>
          </w:tcPr>
          <w:p w14:paraId="674A207C">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c>
          <w:tcPr>
            <w:tcW w:w="4440" w:type="dxa"/>
            <w:noWrap w:val="0"/>
            <w:vAlign w:val="top"/>
          </w:tcPr>
          <w:p w14:paraId="0BA21070">
            <w:pPr>
              <w:keepNext w:val="0"/>
              <w:keepLines w:val="0"/>
              <w:pageBreakBefore w:val="0"/>
              <w:widowControl w:val="0"/>
              <w:kinsoku/>
              <w:wordWrap/>
              <w:overflowPunct/>
              <w:topLinePunct w:val="0"/>
              <w:autoSpaceDE/>
              <w:autoSpaceDN/>
              <w:bidi w:val="0"/>
              <w:adjustRightInd/>
              <w:snapToGrid/>
              <w:spacing w:line="460" w:lineRule="exact"/>
              <w:ind w:left="424" w:leftChars="202" w:firstLine="2"/>
              <w:jc w:val="center"/>
              <w:textAlignment w:val="auto"/>
              <w:rPr>
                <w:rFonts w:hint="eastAsia" w:ascii="新宋体" w:hAnsi="新宋体" w:eastAsia="新宋体" w:cs="新宋体"/>
                <w:color w:val="auto"/>
                <w:sz w:val="22"/>
                <w:szCs w:val="22"/>
                <w:highlight w:val="none"/>
              </w:rPr>
            </w:pPr>
          </w:p>
        </w:tc>
      </w:tr>
    </w:tbl>
    <w:p w14:paraId="6F4E500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2.4整烫、检验、缝补</w:t>
      </w:r>
    </w:p>
    <w:p w14:paraId="7AFE23D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2.4.1大单被套采用大型烫平机进行整烫。</w:t>
      </w:r>
    </w:p>
    <w:p w14:paraId="3DDFEFB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2.4.2小件布草也采用定机的方式烘干，然后检验、折叠、打包。</w:t>
      </w:r>
    </w:p>
    <w:p w14:paraId="7F6D407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2.4.3对医务人员工作服、病衣、病裤，采用蒸汽烫斗用手工方式逐件熨烫，特别注重衣领、门襟、袖口等部位的平整，确保整烫无死角。</w:t>
      </w:r>
    </w:p>
    <w:p w14:paraId="3217B9B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2.4.4在整烫过程中如发现有缺扣、拉链破损等现象，需积极更换，如发现布草破损，将按布草颜色及图案进行修补，维护布草外观形象的统一性。</w:t>
      </w:r>
    </w:p>
    <w:p w14:paraId="3E53998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3、配送</w:t>
      </w:r>
    </w:p>
    <w:p w14:paraId="44973C4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3.1设备配置</w:t>
      </w:r>
    </w:p>
    <w:p w14:paraId="640085A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3.1.1使用轻型箱式货柜车配送。每次运送完毕后对车厢内部进行消毒处理，做到消毒全面、彻底,杜绝交叉感染。</w:t>
      </w:r>
    </w:p>
    <w:p w14:paraId="3B51808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3.2配送时间</w:t>
      </w:r>
    </w:p>
    <w:p w14:paraId="362C5FF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3.2.1运送时间：每天07:00前干净布草运输到医院指定房间，由布草整理人员进行整理归类后发放到各科室 (可椐实际情况，经双方协商后，另行更改时间) 。如因投标人原因导致</w:t>
      </w:r>
      <w:r>
        <w:rPr>
          <w:rFonts w:hint="eastAsia" w:ascii="新宋体" w:hAnsi="新宋体" w:eastAsia="新宋体" w:cs="新宋体"/>
          <w:color w:val="auto"/>
          <w:szCs w:val="21"/>
          <w:highlight w:val="none"/>
        </w:rPr>
        <w:t>配送延误，将根据合同考核办法进行扣分处罚</w:t>
      </w:r>
      <w:r>
        <w:rPr>
          <w:rFonts w:hint="eastAsia" w:ascii="新宋体" w:hAnsi="新宋体" w:eastAsia="新宋体" w:cs="新宋体"/>
          <w:color w:val="auto"/>
          <w:sz w:val="22"/>
          <w:szCs w:val="22"/>
          <w:highlight w:val="none"/>
        </w:rPr>
        <w:t>。</w:t>
      </w:r>
    </w:p>
    <w:p w14:paraId="79DACC1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3.2.2收集时间：脏布草每天13：30前收集归类放到医院指定房间，统一运输回厂。</w:t>
      </w:r>
    </w:p>
    <w:p w14:paraId="4C97FD4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3.3配送程序</w:t>
      </w:r>
    </w:p>
    <w:p w14:paraId="3989BB4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3.3.1根据汇总清单发送清洁布草，由专车送到医院被服站。</w:t>
      </w:r>
    </w:p>
    <w:p w14:paraId="775CE5F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3.3.2为确保工作衣的平整、挺括，在运送时采用单独装箱运送。其它清洁布草在运送时实行分类分色叠放整齐，以确保布草的平整性和整洁度。</w:t>
      </w:r>
    </w:p>
    <w:p w14:paraId="04FB336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3.3.3收发人员根据汇总清单对洁净布草进行分类，清点数量，核对无误后交给各科室工友，（工作服根据收集清单核对编号、颜色、数量后，交各科室工友），工友核对无误后签字。</w:t>
      </w:r>
    </w:p>
    <w:p w14:paraId="3F42425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3.3.4医院轮岗医务人员工作服，由被服室与医院人事科、护理部密切交流，获得信息后进行配送。</w:t>
      </w:r>
    </w:p>
    <w:p w14:paraId="0D2A4D3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3.4运输保障</w:t>
      </w:r>
    </w:p>
    <w:p w14:paraId="57D0864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投标人需针对但不限于运行安全控制、运输保障控制、技术安全措施、应急预案及处理等方面进行阐述如何实现运输保障。</w:t>
      </w:r>
    </w:p>
    <w:p w14:paraId="7490E4A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4、医院衣物洗涤注意事项</w:t>
      </w:r>
    </w:p>
    <w:p w14:paraId="257A238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4.1白大衣</w:t>
      </w:r>
    </w:p>
    <w:p w14:paraId="4089381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A</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sz w:val="22"/>
          <w:szCs w:val="22"/>
          <w:highlight w:val="none"/>
        </w:rPr>
        <w:t>分检掏兜。</w:t>
      </w:r>
    </w:p>
    <w:p w14:paraId="44C53FB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B</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sz w:val="22"/>
          <w:szCs w:val="22"/>
          <w:highlight w:val="none"/>
        </w:rPr>
        <w:t>衣物装机量不能太满。</w:t>
      </w:r>
    </w:p>
    <w:p w14:paraId="3699E47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C</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sz w:val="22"/>
          <w:szCs w:val="22"/>
          <w:highlight w:val="none"/>
        </w:rPr>
        <w:t>白大衣领口、袖口可以用衣领净提前预处理。</w:t>
      </w:r>
    </w:p>
    <w:p w14:paraId="6A85654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D</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sz w:val="22"/>
          <w:szCs w:val="22"/>
          <w:highlight w:val="none"/>
        </w:rPr>
        <w:t>彩色大衣要单独分色洗涤，以防脱色、搭色。</w:t>
      </w:r>
    </w:p>
    <w:p w14:paraId="03A6832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4.2病服需加入柔顺剂。</w:t>
      </w:r>
    </w:p>
    <w:p w14:paraId="2DC8FEB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4.3床单、被服</w:t>
      </w:r>
    </w:p>
    <w:p w14:paraId="4E484AD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需加入一定量的油污乳化剂有助于油渍的去除。  </w:t>
      </w:r>
    </w:p>
    <w:p w14:paraId="17CD9EA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4.4谨慎使用次氯酸钠。</w:t>
      </w:r>
    </w:p>
    <w:p w14:paraId="66BED8EC">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A</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sz w:val="22"/>
          <w:szCs w:val="22"/>
          <w:highlight w:val="none"/>
        </w:rPr>
        <w:t>使用时将次钠用水十倍以上稀释，机器转动的过程中加入洗衣机。</w:t>
      </w:r>
    </w:p>
    <w:p w14:paraId="5A26841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B</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sz w:val="22"/>
          <w:szCs w:val="22"/>
          <w:highlight w:val="none"/>
        </w:rPr>
        <w:t>彩色衣物最好不用次钠漂白消毒。</w:t>
      </w:r>
    </w:p>
    <w:p w14:paraId="2A63524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C</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sz w:val="22"/>
          <w:szCs w:val="22"/>
          <w:highlight w:val="none"/>
        </w:rPr>
        <w:t>有些药物遇到含氯漂白剂会氧化变色，形成褐色，滞留在织物纤维中很难除去，所以建议洗涤一定时间后再加入含氯漂白消毒剂。</w:t>
      </w:r>
    </w:p>
    <w:p w14:paraId="1B5925E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4.5传染病房的被服应严格按消毒程度，定时回收，专人、专机，避免交叉感染。</w:t>
      </w:r>
    </w:p>
    <w:p w14:paraId="0224193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4.6严把质量关，把局部污渍消灭在衣物出厂之前衣物洗涤过程中肯定会有局部未洗掉的黄迹、药迹、陈旧血渍、锈迹等，一旦发现要及时处理，采用化学法、氧化法、还原法局部返洗。 </w:t>
      </w:r>
    </w:p>
    <w:p w14:paraId="137C9AA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snapToGrid w:val="0"/>
          <w:color w:val="auto"/>
          <w:kern w:val="0"/>
          <w:sz w:val="22"/>
          <w:szCs w:val="22"/>
          <w:highlight w:val="none"/>
        </w:rPr>
      </w:pPr>
      <w:r>
        <w:rPr>
          <w:rFonts w:hint="eastAsia" w:ascii="新宋体" w:hAnsi="新宋体" w:eastAsia="新宋体" w:cs="新宋体"/>
          <w:b/>
          <w:bCs/>
          <w:snapToGrid w:val="0"/>
          <w:color w:val="auto"/>
          <w:kern w:val="0"/>
          <w:sz w:val="22"/>
          <w:szCs w:val="22"/>
          <w:highlight w:val="none"/>
        </w:rPr>
        <w:t>（六）清洗频率及其他供应要求</w:t>
      </w:r>
    </w:p>
    <w:p w14:paraId="440B0B7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1、投标人将医院内所产生洗涤物（其中医生、护士的工作服，冬天每星期洗涤</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次，夏天每星期2次，其中医生值班被品每星期</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次），根据院方的工作要求，洗后需烘干、烫平、折叠、整齐按数送回，每日到所在科室收送一次，并做好交接记录，其平整度应延续至使用科室领用人为止。如：交通堵塞产生运输设备故障等原因，双方沟通后协商解决，但投标人必须满足院方洗涤的日常所需。</w:t>
      </w:r>
    </w:p>
    <w:p w14:paraId="0171BFD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投标人应对所有的洗涤保证质量，做到干净、整洁、平整。被服烘干要彻底，整烫要按规范烫平，确保钮扣及袖口的松紧，衣服钮扣缺少或小破损的要及时钉好、补好。破损缝补应注重线、布、纽扣等色泽统一、型号相同，确保美观。</w:t>
      </w:r>
    </w:p>
    <w:p w14:paraId="3C5F6B9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3、干净布草送回时需按来源不同分装不同颜色的干净打包袋，（黄色为感染，特殊性病区使用，黑色为普通病区使用，绿色为医务人员使用）</w:t>
      </w:r>
    </w:p>
    <w:p w14:paraId="7E2E044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snapToGrid w:val="0"/>
          <w:color w:val="auto"/>
          <w:kern w:val="0"/>
          <w:sz w:val="22"/>
          <w:szCs w:val="22"/>
          <w:highlight w:val="none"/>
        </w:rPr>
      </w:pPr>
      <w:r>
        <w:rPr>
          <w:rFonts w:hint="eastAsia" w:ascii="新宋体" w:hAnsi="新宋体" w:eastAsia="新宋体" w:cs="新宋体"/>
          <w:b/>
          <w:bCs/>
          <w:snapToGrid w:val="0"/>
          <w:color w:val="auto"/>
          <w:kern w:val="0"/>
          <w:sz w:val="22"/>
          <w:szCs w:val="22"/>
          <w:highlight w:val="none"/>
        </w:rPr>
        <w:t>（七）出厂布草消毒标准及流程</w:t>
      </w:r>
    </w:p>
    <w:p w14:paraId="2B96554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1、感官指标</w:t>
      </w:r>
    </w:p>
    <w:p w14:paraId="1109626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洗涤后的布草外观整洁、无水渍、无污渍。无异味。无异物，无破损</w:t>
      </w:r>
    </w:p>
    <w:p w14:paraId="3334944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2、微生物指标</w:t>
      </w:r>
    </w:p>
    <w:p w14:paraId="0622BC8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洗涤后的布草微生物指标应该达到下表的要求。</w:t>
      </w:r>
    </w:p>
    <w:tbl>
      <w:tblPr>
        <w:tblStyle w:val="53"/>
        <w:tblW w:w="0" w:type="auto"/>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4344"/>
        <w:gridCol w:w="4296"/>
      </w:tblGrid>
      <w:tr w14:paraId="2505BE8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344" w:type="dxa"/>
            <w:noWrap w:val="0"/>
            <w:vAlign w:val="center"/>
          </w:tcPr>
          <w:p w14:paraId="01F0FD4B">
            <w:pPr>
              <w:keepNext w:val="0"/>
              <w:keepLines w:val="0"/>
              <w:pageBreakBefore w:val="0"/>
              <w:widowControl w:val="0"/>
              <w:kinsoku/>
              <w:wordWrap/>
              <w:overflowPunct/>
              <w:topLinePunct w:val="0"/>
              <w:autoSpaceDE/>
              <w:autoSpaceDN/>
              <w:bidi w:val="0"/>
              <w:adjustRightInd/>
              <w:snapToGrid/>
              <w:spacing w:line="460" w:lineRule="exact"/>
              <w:ind w:left="0" w:leftChars="0" w:firstLine="0"/>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w:t>
            </w:r>
          </w:p>
        </w:tc>
        <w:tc>
          <w:tcPr>
            <w:tcW w:w="4296" w:type="dxa"/>
            <w:noWrap w:val="0"/>
            <w:vAlign w:val="center"/>
          </w:tcPr>
          <w:p w14:paraId="349F2D66">
            <w:pPr>
              <w:keepNext w:val="0"/>
              <w:keepLines w:val="0"/>
              <w:pageBreakBefore w:val="0"/>
              <w:widowControl w:val="0"/>
              <w:kinsoku/>
              <w:wordWrap/>
              <w:overflowPunct/>
              <w:topLinePunct w:val="0"/>
              <w:autoSpaceDE/>
              <w:autoSpaceDN/>
              <w:bidi w:val="0"/>
              <w:adjustRightInd/>
              <w:snapToGrid/>
              <w:spacing w:line="460" w:lineRule="exact"/>
              <w:ind w:left="0" w:leftChars="0" w:firstLine="0"/>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指标</w:t>
            </w:r>
          </w:p>
        </w:tc>
      </w:tr>
      <w:tr w14:paraId="1BAB8F3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344" w:type="dxa"/>
            <w:noWrap w:val="0"/>
            <w:vAlign w:val="center"/>
          </w:tcPr>
          <w:p w14:paraId="2E39AF4D">
            <w:pPr>
              <w:keepNext w:val="0"/>
              <w:keepLines w:val="0"/>
              <w:pageBreakBefore w:val="0"/>
              <w:widowControl w:val="0"/>
              <w:kinsoku/>
              <w:wordWrap/>
              <w:overflowPunct/>
              <w:topLinePunct w:val="0"/>
              <w:autoSpaceDE/>
              <w:autoSpaceDN/>
              <w:bidi w:val="0"/>
              <w:adjustRightInd/>
              <w:snapToGrid/>
              <w:spacing w:line="460" w:lineRule="exact"/>
              <w:ind w:left="0" w:leftChars="0" w:firstLine="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细菌总数</w:t>
            </w:r>
          </w:p>
        </w:tc>
        <w:tc>
          <w:tcPr>
            <w:tcW w:w="4296" w:type="dxa"/>
            <w:noWrap w:val="0"/>
            <w:vAlign w:val="center"/>
          </w:tcPr>
          <w:p w14:paraId="6F790193">
            <w:pPr>
              <w:keepNext w:val="0"/>
              <w:keepLines w:val="0"/>
              <w:pageBreakBefore w:val="0"/>
              <w:widowControl w:val="0"/>
              <w:kinsoku/>
              <w:wordWrap/>
              <w:overflowPunct/>
              <w:topLinePunct w:val="0"/>
              <w:autoSpaceDE/>
              <w:autoSpaceDN/>
              <w:bidi w:val="0"/>
              <w:adjustRightInd/>
              <w:snapToGrid/>
              <w:spacing w:line="460" w:lineRule="exact"/>
              <w:ind w:left="0" w:leftChars="0" w:firstLine="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≤200cfu/100cm</w:t>
            </w:r>
            <w:r>
              <w:rPr>
                <w:rFonts w:hint="eastAsia" w:ascii="新宋体" w:hAnsi="新宋体" w:eastAsia="新宋体" w:cs="新宋体"/>
                <w:color w:val="auto"/>
                <w:sz w:val="22"/>
                <w:szCs w:val="22"/>
                <w:highlight w:val="none"/>
                <w:vertAlign w:val="superscript"/>
              </w:rPr>
              <w:t>2</w:t>
            </w:r>
          </w:p>
        </w:tc>
      </w:tr>
      <w:tr w14:paraId="105C0C1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344" w:type="dxa"/>
            <w:noWrap w:val="0"/>
            <w:vAlign w:val="center"/>
          </w:tcPr>
          <w:p w14:paraId="22473B45">
            <w:pPr>
              <w:keepNext w:val="0"/>
              <w:keepLines w:val="0"/>
              <w:pageBreakBefore w:val="0"/>
              <w:widowControl w:val="0"/>
              <w:kinsoku/>
              <w:wordWrap/>
              <w:overflowPunct/>
              <w:topLinePunct w:val="0"/>
              <w:autoSpaceDE/>
              <w:autoSpaceDN/>
              <w:bidi w:val="0"/>
              <w:adjustRightInd/>
              <w:snapToGrid/>
              <w:spacing w:line="460" w:lineRule="exact"/>
              <w:ind w:left="0" w:leftChars="0" w:firstLine="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致病微生物</w:t>
            </w:r>
          </w:p>
        </w:tc>
        <w:tc>
          <w:tcPr>
            <w:tcW w:w="4296" w:type="dxa"/>
            <w:noWrap w:val="0"/>
            <w:vAlign w:val="center"/>
          </w:tcPr>
          <w:p w14:paraId="5B6830BB">
            <w:pPr>
              <w:keepNext w:val="0"/>
              <w:keepLines w:val="0"/>
              <w:pageBreakBefore w:val="0"/>
              <w:widowControl w:val="0"/>
              <w:kinsoku/>
              <w:wordWrap/>
              <w:overflowPunct/>
              <w:topLinePunct w:val="0"/>
              <w:autoSpaceDE/>
              <w:autoSpaceDN/>
              <w:bidi w:val="0"/>
              <w:adjustRightInd/>
              <w:snapToGrid/>
              <w:spacing w:line="460" w:lineRule="exact"/>
              <w:ind w:left="0" w:leftChars="0" w:firstLine="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不得检出</w:t>
            </w:r>
          </w:p>
        </w:tc>
      </w:tr>
    </w:tbl>
    <w:p w14:paraId="5C7CB32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3、消毒过程</w:t>
      </w:r>
    </w:p>
    <w:p w14:paraId="5305DB6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3.1温度不小于80摄氏度，保持至少10分钟</w:t>
      </w:r>
    </w:p>
    <w:p w14:paraId="70E0A7B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3.2使用含氯消毒剂，洗涤溶液活性氯浓度不低于200PPM</w:t>
      </w:r>
    </w:p>
    <w:p w14:paraId="773B31D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3.3使用过氧乙酸消毒剂，洗涤溶液过氧乙酸浓度不低于200PPM</w:t>
      </w:r>
    </w:p>
    <w:p w14:paraId="5BECB67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3.4传染病人用物、被病人体液、血液污染的用、棉网经专门的棉网消毒机或曝晒等消毒。</w:t>
      </w:r>
    </w:p>
    <w:p w14:paraId="38877EA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p>
    <w:p w14:paraId="071E8EC2">
      <w:pPr>
        <w:pStyle w:val="23"/>
        <w:keepNext w:val="0"/>
        <w:keepLines w:val="0"/>
        <w:pageBreakBefore w:val="0"/>
        <w:widowControl w:val="0"/>
        <w:kinsoku/>
        <w:wordWrap/>
        <w:overflowPunct/>
        <w:topLinePunct w:val="0"/>
        <w:autoSpaceDE/>
        <w:autoSpaceDN/>
        <w:bidi w:val="0"/>
        <w:adjustRightInd/>
        <w:snapToGrid/>
        <w:spacing w:after="0" w:line="460" w:lineRule="atLeast"/>
        <w:ind w:left="0" w:leftChars="0"/>
        <w:jc w:val="center"/>
        <w:textAlignment w:val="auto"/>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22"/>
          <w:szCs w:val="22"/>
          <w:highlight w:val="none"/>
        </w:rPr>
        <w:br w:type="page"/>
      </w:r>
      <w:bookmarkStart w:id="53" w:name="_Toc10231"/>
      <w:r>
        <w:rPr>
          <w:rFonts w:hint="eastAsia" w:ascii="新宋体" w:hAnsi="新宋体" w:eastAsia="新宋体" w:cs="新宋体"/>
          <w:b/>
          <w:color w:val="auto"/>
          <w:sz w:val="30"/>
          <w:highlight w:val="none"/>
        </w:rPr>
        <w:t>第五部分   评标原则及方法</w:t>
      </w:r>
      <w:bookmarkEnd w:id="53"/>
    </w:p>
    <w:p w14:paraId="7351B727">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lang w:val="en-US" w:eastAsia="zh-CN"/>
        </w:rPr>
        <w:t>参</w:t>
      </w:r>
      <w:r>
        <w:rPr>
          <w:rFonts w:hint="eastAsia" w:ascii="新宋体" w:hAnsi="新宋体" w:eastAsia="新宋体" w:cs="新宋体"/>
          <w:b/>
          <w:color w:val="auto"/>
          <w:sz w:val="22"/>
          <w:szCs w:val="22"/>
          <w:highlight w:val="none"/>
        </w:rPr>
        <w:t>照《中华人民共和国政府采购法》、《政府采购货物和服务招标投标管理办法》、《中华人民共和国政府采购法实施条例》和《关于进一步规范政府采购活动的若干意见》等相关法规特制定以下评标办法。</w:t>
      </w:r>
    </w:p>
    <w:p w14:paraId="0700E470">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outlineLvl w:val="1"/>
        <w:rPr>
          <w:rFonts w:hint="eastAsia" w:ascii="新宋体" w:hAnsi="新宋体" w:eastAsia="新宋体" w:cs="新宋体"/>
          <w:b/>
          <w:color w:val="auto"/>
          <w:sz w:val="22"/>
          <w:szCs w:val="22"/>
          <w:highlight w:val="none"/>
        </w:rPr>
      </w:pPr>
      <w:bookmarkStart w:id="54" w:name="_Toc11569"/>
      <w:r>
        <w:rPr>
          <w:rFonts w:hint="eastAsia" w:ascii="新宋体" w:hAnsi="新宋体" w:eastAsia="新宋体" w:cs="新宋体"/>
          <w:b/>
          <w:color w:val="auto"/>
          <w:sz w:val="22"/>
          <w:szCs w:val="22"/>
          <w:highlight w:val="none"/>
        </w:rPr>
        <w:t>一、总 则</w:t>
      </w:r>
      <w:bookmarkEnd w:id="54"/>
    </w:p>
    <w:p w14:paraId="6835053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评标工作遵循公平、公正、科学、择优原则和诚实、信誉、效率的服务原则。本着科学、严谨的态度，认真进行评标。择优选用，推进技术进步，确保质量、交货期，节约投资，最大限度的保护当事人权益，严格按照招标文件的商务、技术要求，对投标文件进行综合评定，提出优选方案，编写评标报告。对落标单位，评委会不作任何落标解释。投标人不得以任何方式干扰招投标工作的进行，一经发现其投标文件将被拒绝。</w:t>
      </w:r>
    </w:p>
    <w:p w14:paraId="4BEF2E6C">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outlineLvl w:val="1"/>
        <w:rPr>
          <w:rFonts w:hint="eastAsia" w:ascii="新宋体" w:hAnsi="新宋体" w:eastAsia="新宋体" w:cs="新宋体"/>
          <w:b/>
          <w:color w:val="auto"/>
          <w:sz w:val="22"/>
          <w:szCs w:val="22"/>
          <w:highlight w:val="none"/>
        </w:rPr>
      </w:pPr>
      <w:bookmarkStart w:id="55" w:name="_Toc32037"/>
      <w:r>
        <w:rPr>
          <w:rFonts w:hint="eastAsia" w:ascii="新宋体" w:hAnsi="新宋体" w:eastAsia="新宋体" w:cs="新宋体"/>
          <w:b/>
          <w:color w:val="auto"/>
          <w:sz w:val="22"/>
          <w:szCs w:val="22"/>
          <w:highlight w:val="none"/>
        </w:rPr>
        <w:t>二、</w:t>
      </w:r>
      <w:r>
        <w:rPr>
          <w:rFonts w:hint="eastAsia" w:ascii="新宋体" w:hAnsi="新宋体" w:eastAsia="新宋体" w:cs="新宋体"/>
          <w:b/>
          <w:bCs/>
          <w:color w:val="auto"/>
          <w:sz w:val="22"/>
          <w:szCs w:val="22"/>
          <w:highlight w:val="none"/>
        </w:rPr>
        <w:t>评标</w:t>
      </w:r>
      <w:r>
        <w:rPr>
          <w:rFonts w:hint="eastAsia" w:ascii="新宋体" w:hAnsi="新宋体" w:eastAsia="新宋体" w:cs="新宋体"/>
          <w:b/>
          <w:color w:val="auto"/>
          <w:sz w:val="22"/>
          <w:szCs w:val="22"/>
          <w:highlight w:val="none"/>
        </w:rPr>
        <w:t>组织</w:t>
      </w:r>
      <w:bookmarkEnd w:id="55"/>
    </w:p>
    <w:p w14:paraId="76D8C12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评标工作由招标人组建的评标委员会负责，评标全过程由有关部门指导监督。</w:t>
      </w:r>
    </w:p>
    <w:p w14:paraId="4AC01FEC">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outlineLvl w:val="1"/>
        <w:rPr>
          <w:rFonts w:hint="eastAsia" w:ascii="新宋体" w:hAnsi="新宋体" w:eastAsia="新宋体" w:cs="新宋体"/>
          <w:b/>
          <w:color w:val="auto"/>
          <w:sz w:val="22"/>
          <w:szCs w:val="22"/>
          <w:highlight w:val="none"/>
        </w:rPr>
      </w:pPr>
      <w:bookmarkStart w:id="56" w:name="_Toc17618"/>
      <w:r>
        <w:rPr>
          <w:rFonts w:hint="eastAsia" w:ascii="新宋体" w:hAnsi="新宋体" w:eastAsia="新宋体" w:cs="新宋体"/>
          <w:b/>
          <w:color w:val="auto"/>
          <w:sz w:val="22"/>
          <w:szCs w:val="22"/>
          <w:highlight w:val="none"/>
        </w:rPr>
        <w:t>三、</w:t>
      </w:r>
      <w:r>
        <w:rPr>
          <w:rFonts w:hint="eastAsia" w:ascii="新宋体" w:hAnsi="新宋体" w:eastAsia="新宋体" w:cs="新宋体"/>
          <w:b/>
          <w:bCs/>
          <w:color w:val="auto"/>
          <w:sz w:val="22"/>
          <w:szCs w:val="22"/>
          <w:highlight w:val="none"/>
        </w:rPr>
        <w:t>评标</w:t>
      </w:r>
      <w:r>
        <w:rPr>
          <w:rFonts w:hint="eastAsia" w:ascii="新宋体" w:hAnsi="新宋体" w:eastAsia="新宋体" w:cs="新宋体"/>
          <w:b/>
          <w:color w:val="auto"/>
          <w:sz w:val="22"/>
          <w:szCs w:val="22"/>
          <w:highlight w:val="none"/>
        </w:rPr>
        <w:t>程序</w:t>
      </w:r>
      <w:bookmarkEnd w:id="56"/>
    </w:p>
    <w:p w14:paraId="76DEC40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评标委员按照招标文件中规定的评标方法和标准，对投标文件进行商务和技术评估，综合比较与评价</w:t>
      </w:r>
      <w:r>
        <w:rPr>
          <w:rFonts w:hint="eastAsia" w:ascii="新宋体" w:hAnsi="新宋体" w:eastAsia="新宋体" w:cs="新宋体"/>
          <w:color w:val="auto"/>
          <w:sz w:val="22"/>
          <w:szCs w:val="22"/>
          <w:highlight w:val="none"/>
        </w:rPr>
        <w:t>，根据综合评审结果，提交评审报告。</w:t>
      </w:r>
    </w:p>
    <w:p w14:paraId="00802BF3">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outlineLvl w:val="1"/>
        <w:rPr>
          <w:rFonts w:hint="eastAsia" w:ascii="新宋体" w:hAnsi="新宋体" w:eastAsia="新宋体" w:cs="新宋体"/>
          <w:b/>
          <w:color w:val="auto"/>
          <w:sz w:val="22"/>
          <w:szCs w:val="22"/>
          <w:highlight w:val="none"/>
        </w:rPr>
      </w:pPr>
      <w:bookmarkStart w:id="57" w:name="_Toc997"/>
      <w:r>
        <w:rPr>
          <w:rFonts w:hint="eastAsia" w:ascii="新宋体" w:hAnsi="新宋体" w:eastAsia="新宋体" w:cs="新宋体"/>
          <w:b/>
          <w:color w:val="auto"/>
          <w:sz w:val="22"/>
          <w:szCs w:val="22"/>
          <w:highlight w:val="none"/>
        </w:rPr>
        <w:t>四、评标办法</w:t>
      </w:r>
      <w:bookmarkEnd w:id="57"/>
    </w:p>
    <w:p w14:paraId="7931DF5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次采购采用百分制综合评分法，即投标人最大限度地满足招标文件实质性要求的基础上，按照招标文件的各项因素进行综合评审后，按评审后得分（即商务技术分与报价分之和）由高到低顺序排序，确定中标候选人的评标方法。根据采购要求，</w:t>
      </w:r>
      <w:r>
        <w:rPr>
          <w:rFonts w:hint="eastAsia" w:ascii="新宋体" w:hAnsi="新宋体" w:eastAsia="新宋体" w:cs="新宋体"/>
          <w:b/>
          <w:color w:val="auto"/>
          <w:sz w:val="22"/>
          <w:szCs w:val="22"/>
          <w:highlight w:val="none"/>
        </w:rPr>
        <w:t>总分设定为100分：商务技术</w:t>
      </w:r>
      <w:r>
        <w:rPr>
          <w:rFonts w:hint="eastAsia" w:ascii="新宋体" w:hAnsi="新宋体" w:eastAsia="新宋体" w:cs="新宋体"/>
          <w:b/>
          <w:color w:val="auto"/>
          <w:sz w:val="22"/>
          <w:szCs w:val="22"/>
          <w:highlight w:val="none"/>
          <w:lang w:val="en-US" w:eastAsia="zh-CN"/>
        </w:rPr>
        <w:t>7</w:t>
      </w:r>
      <w:r>
        <w:rPr>
          <w:rFonts w:hint="eastAsia" w:ascii="新宋体" w:hAnsi="新宋体" w:eastAsia="新宋体" w:cs="新宋体"/>
          <w:b/>
          <w:color w:val="auto"/>
          <w:sz w:val="22"/>
          <w:szCs w:val="22"/>
          <w:highlight w:val="none"/>
        </w:rPr>
        <w:t>0分（权值</w:t>
      </w:r>
      <w:r>
        <w:rPr>
          <w:rFonts w:hint="eastAsia" w:ascii="新宋体" w:hAnsi="新宋体" w:eastAsia="新宋体" w:cs="新宋体"/>
          <w:b/>
          <w:color w:val="auto"/>
          <w:sz w:val="22"/>
          <w:szCs w:val="22"/>
          <w:highlight w:val="none"/>
          <w:lang w:val="en-US" w:eastAsia="zh-CN"/>
        </w:rPr>
        <w:t>7</w:t>
      </w:r>
      <w:r>
        <w:rPr>
          <w:rFonts w:hint="eastAsia" w:ascii="新宋体" w:hAnsi="新宋体" w:eastAsia="新宋体" w:cs="新宋体"/>
          <w:b/>
          <w:color w:val="auto"/>
          <w:sz w:val="22"/>
          <w:szCs w:val="22"/>
          <w:highlight w:val="none"/>
        </w:rPr>
        <w:t>0%），报价</w:t>
      </w:r>
      <w:r>
        <w:rPr>
          <w:rFonts w:hint="eastAsia" w:ascii="新宋体" w:hAnsi="新宋体" w:eastAsia="新宋体" w:cs="新宋体"/>
          <w:b/>
          <w:color w:val="auto"/>
          <w:sz w:val="22"/>
          <w:szCs w:val="22"/>
          <w:highlight w:val="none"/>
          <w:lang w:val="en-US" w:eastAsia="zh-CN"/>
        </w:rPr>
        <w:t>3</w:t>
      </w:r>
      <w:r>
        <w:rPr>
          <w:rFonts w:hint="eastAsia" w:ascii="新宋体" w:hAnsi="新宋体" w:eastAsia="新宋体" w:cs="新宋体"/>
          <w:b/>
          <w:color w:val="auto"/>
          <w:sz w:val="22"/>
          <w:szCs w:val="22"/>
          <w:highlight w:val="none"/>
        </w:rPr>
        <w:t>0分（权值</w:t>
      </w:r>
      <w:r>
        <w:rPr>
          <w:rFonts w:hint="eastAsia" w:ascii="新宋体" w:hAnsi="新宋体" w:eastAsia="新宋体" w:cs="新宋体"/>
          <w:b/>
          <w:color w:val="auto"/>
          <w:sz w:val="22"/>
          <w:szCs w:val="22"/>
          <w:highlight w:val="none"/>
          <w:lang w:val="en-US" w:eastAsia="zh-CN"/>
        </w:rPr>
        <w:t>3</w:t>
      </w:r>
      <w:r>
        <w:rPr>
          <w:rFonts w:hint="eastAsia" w:ascii="新宋体" w:hAnsi="新宋体" w:eastAsia="新宋体" w:cs="新宋体"/>
          <w:b/>
          <w:color w:val="auto"/>
          <w:sz w:val="22"/>
          <w:szCs w:val="22"/>
          <w:highlight w:val="none"/>
        </w:rPr>
        <w:t>0%）。</w:t>
      </w:r>
    </w:p>
    <w:p w14:paraId="25C1D9D2">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outlineLvl w:val="1"/>
        <w:rPr>
          <w:rFonts w:hint="eastAsia" w:ascii="新宋体" w:hAnsi="新宋体" w:eastAsia="新宋体" w:cs="新宋体"/>
          <w:b/>
          <w:color w:val="auto"/>
          <w:sz w:val="22"/>
          <w:szCs w:val="22"/>
          <w:highlight w:val="none"/>
        </w:rPr>
      </w:pPr>
      <w:bookmarkStart w:id="58" w:name="_Toc3662"/>
      <w:r>
        <w:rPr>
          <w:rFonts w:hint="eastAsia" w:ascii="新宋体" w:hAnsi="新宋体" w:eastAsia="新宋体" w:cs="新宋体"/>
          <w:b/>
          <w:color w:val="auto"/>
          <w:sz w:val="22"/>
          <w:szCs w:val="22"/>
          <w:highlight w:val="none"/>
        </w:rPr>
        <w:t>五、</w:t>
      </w:r>
      <w:r>
        <w:rPr>
          <w:rFonts w:hint="eastAsia" w:ascii="新宋体" w:hAnsi="新宋体" w:eastAsia="新宋体" w:cs="新宋体"/>
          <w:b/>
          <w:bCs/>
          <w:color w:val="auto"/>
          <w:sz w:val="22"/>
          <w:szCs w:val="22"/>
          <w:highlight w:val="none"/>
        </w:rPr>
        <w:t>评分</w:t>
      </w:r>
      <w:r>
        <w:rPr>
          <w:rFonts w:hint="eastAsia" w:ascii="新宋体" w:hAnsi="新宋体" w:eastAsia="新宋体" w:cs="新宋体"/>
          <w:b/>
          <w:color w:val="auto"/>
          <w:sz w:val="22"/>
          <w:szCs w:val="22"/>
          <w:highlight w:val="none"/>
        </w:rPr>
        <w:t>细则</w:t>
      </w:r>
      <w:bookmarkEnd w:id="58"/>
    </w:p>
    <w:p w14:paraId="39E79C40">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1、技术分的评定：商务技术</w:t>
      </w:r>
      <w:r>
        <w:rPr>
          <w:rFonts w:hint="eastAsia" w:ascii="新宋体" w:hAnsi="新宋体" w:eastAsia="新宋体" w:cs="新宋体"/>
          <w:b/>
          <w:color w:val="auto"/>
          <w:sz w:val="22"/>
          <w:szCs w:val="22"/>
          <w:highlight w:val="none"/>
          <w:lang w:val="en-US" w:eastAsia="zh-CN"/>
        </w:rPr>
        <w:t>7</w:t>
      </w:r>
      <w:r>
        <w:rPr>
          <w:rFonts w:hint="eastAsia" w:ascii="新宋体" w:hAnsi="新宋体" w:eastAsia="新宋体" w:cs="新宋体"/>
          <w:b/>
          <w:color w:val="auto"/>
          <w:sz w:val="22"/>
          <w:szCs w:val="22"/>
          <w:highlight w:val="none"/>
        </w:rPr>
        <w:t>0分（权值</w:t>
      </w:r>
      <w:r>
        <w:rPr>
          <w:rFonts w:hint="eastAsia" w:ascii="新宋体" w:hAnsi="新宋体" w:eastAsia="新宋体" w:cs="新宋体"/>
          <w:b/>
          <w:color w:val="auto"/>
          <w:sz w:val="22"/>
          <w:szCs w:val="22"/>
          <w:highlight w:val="none"/>
          <w:lang w:val="en-US" w:eastAsia="zh-CN"/>
        </w:rPr>
        <w:t>7</w:t>
      </w:r>
      <w:r>
        <w:rPr>
          <w:rFonts w:hint="eastAsia" w:ascii="新宋体" w:hAnsi="新宋体" w:eastAsia="新宋体" w:cs="新宋体"/>
          <w:b/>
          <w:color w:val="auto"/>
          <w:sz w:val="22"/>
          <w:szCs w:val="22"/>
          <w:highlight w:val="none"/>
        </w:rPr>
        <w:t>0%）</w:t>
      </w:r>
    </w:p>
    <w:p w14:paraId="1F9B423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53"/>
        <w:tblW w:w="99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2"/>
        <w:gridCol w:w="1365"/>
        <w:gridCol w:w="675"/>
        <w:gridCol w:w="7186"/>
      </w:tblGrid>
      <w:tr w14:paraId="26A6B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2" w:type="dxa"/>
            <w:noWrap w:val="0"/>
            <w:vAlign w:val="center"/>
          </w:tcPr>
          <w:p w14:paraId="264F0E32">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b/>
                <w:snapToGrid w:val="0"/>
                <w:color w:val="auto"/>
                <w:kern w:val="0"/>
                <w:sz w:val="22"/>
                <w:szCs w:val="22"/>
                <w:highlight w:val="none"/>
              </w:rPr>
            </w:pPr>
            <w:r>
              <w:rPr>
                <w:rFonts w:hint="eastAsia" w:ascii="新宋体" w:hAnsi="新宋体" w:eastAsia="新宋体" w:cs="新宋体"/>
                <w:b/>
                <w:snapToGrid w:val="0"/>
                <w:color w:val="auto"/>
                <w:kern w:val="0"/>
                <w:sz w:val="22"/>
                <w:szCs w:val="22"/>
                <w:highlight w:val="none"/>
              </w:rPr>
              <w:t>序号</w:t>
            </w:r>
          </w:p>
        </w:tc>
        <w:tc>
          <w:tcPr>
            <w:tcW w:w="1365" w:type="dxa"/>
            <w:noWrap w:val="0"/>
            <w:vAlign w:val="center"/>
          </w:tcPr>
          <w:p w14:paraId="2D17E0E3">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b/>
                <w:snapToGrid w:val="0"/>
                <w:color w:val="auto"/>
                <w:kern w:val="0"/>
                <w:sz w:val="22"/>
                <w:szCs w:val="22"/>
                <w:highlight w:val="none"/>
              </w:rPr>
            </w:pPr>
            <w:r>
              <w:rPr>
                <w:rFonts w:hint="eastAsia" w:ascii="新宋体" w:hAnsi="新宋体" w:eastAsia="新宋体" w:cs="新宋体"/>
                <w:b/>
                <w:snapToGrid w:val="0"/>
                <w:color w:val="auto"/>
                <w:kern w:val="0"/>
                <w:sz w:val="22"/>
                <w:szCs w:val="22"/>
                <w:highlight w:val="none"/>
              </w:rPr>
              <w:t>评分内容</w:t>
            </w:r>
          </w:p>
        </w:tc>
        <w:tc>
          <w:tcPr>
            <w:tcW w:w="675" w:type="dxa"/>
            <w:noWrap w:val="0"/>
            <w:vAlign w:val="center"/>
          </w:tcPr>
          <w:p w14:paraId="25BF2D00">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b/>
                <w:snapToGrid w:val="0"/>
                <w:color w:val="auto"/>
                <w:kern w:val="0"/>
                <w:sz w:val="22"/>
                <w:szCs w:val="22"/>
                <w:highlight w:val="none"/>
              </w:rPr>
            </w:pPr>
            <w:r>
              <w:rPr>
                <w:rFonts w:hint="eastAsia" w:ascii="新宋体" w:hAnsi="新宋体" w:eastAsia="新宋体" w:cs="新宋体"/>
                <w:b/>
                <w:snapToGrid w:val="0"/>
                <w:color w:val="auto"/>
                <w:kern w:val="0"/>
                <w:sz w:val="22"/>
                <w:szCs w:val="22"/>
                <w:highlight w:val="none"/>
              </w:rPr>
              <w:t>分值</w:t>
            </w:r>
          </w:p>
        </w:tc>
        <w:tc>
          <w:tcPr>
            <w:tcW w:w="7186" w:type="dxa"/>
            <w:noWrap w:val="0"/>
            <w:vAlign w:val="center"/>
          </w:tcPr>
          <w:p w14:paraId="73F1674D">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b/>
                <w:snapToGrid w:val="0"/>
                <w:color w:val="auto"/>
                <w:kern w:val="0"/>
                <w:sz w:val="22"/>
                <w:szCs w:val="22"/>
                <w:highlight w:val="none"/>
              </w:rPr>
            </w:pPr>
            <w:r>
              <w:rPr>
                <w:rFonts w:hint="eastAsia" w:ascii="新宋体" w:hAnsi="新宋体" w:eastAsia="新宋体" w:cs="新宋体"/>
                <w:b/>
                <w:snapToGrid w:val="0"/>
                <w:color w:val="auto"/>
                <w:kern w:val="0"/>
                <w:sz w:val="22"/>
                <w:szCs w:val="22"/>
                <w:highlight w:val="none"/>
              </w:rPr>
              <w:t>评分标准</w:t>
            </w:r>
          </w:p>
        </w:tc>
      </w:tr>
      <w:tr w14:paraId="02D48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2" w:type="dxa"/>
            <w:noWrap w:val="0"/>
            <w:vAlign w:val="center"/>
          </w:tcPr>
          <w:p w14:paraId="0DEC246B">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snapToGrid w:val="0"/>
                <w:color w:val="auto"/>
                <w:kern w:val="0"/>
                <w:sz w:val="22"/>
                <w:szCs w:val="22"/>
                <w:highlight w:val="none"/>
              </w:rPr>
            </w:pPr>
            <w:r>
              <w:rPr>
                <w:rFonts w:hint="eastAsia" w:ascii="新宋体" w:hAnsi="新宋体" w:eastAsia="新宋体" w:cs="新宋体"/>
                <w:snapToGrid w:val="0"/>
                <w:color w:val="auto"/>
                <w:kern w:val="0"/>
                <w:sz w:val="22"/>
                <w:szCs w:val="22"/>
                <w:highlight w:val="none"/>
              </w:rPr>
              <w:t>1</w:t>
            </w:r>
          </w:p>
        </w:tc>
        <w:tc>
          <w:tcPr>
            <w:tcW w:w="1365" w:type="dxa"/>
            <w:noWrap w:val="0"/>
            <w:vAlign w:val="center"/>
          </w:tcPr>
          <w:p w14:paraId="07EBBE76">
            <w:pPr>
              <w:keepNext w:val="0"/>
              <w:keepLines w:val="0"/>
              <w:pageBreakBefore w:val="0"/>
              <w:kinsoku/>
              <w:wordWrap/>
              <w:overflowPunct/>
              <w:topLinePunct w:val="0"/>
              <w:bidi w:val="0"/>
              <w:adjustRightInd w:val="0"/>
              <w:snapToGrid w:val="0"/>
              <w:spacing w:line="460" w:lineRule="exact"/>
              <w:ind w:left="0" w:firstLine="0" w:firstLineChars="0"/>
              <w:jc w:val="left"/>
              <w:textAlignment w:val="auto"/>
              <w:rPr>
                <w:rFonts w:hint="eastAsia" w:ascii="新宋体" w:hAnsi="新宋体" w:eastAsia="新宋体" w:cs="新宋体"/>
                <w:snapToGrid w:val="0"/>
                <w:color w:val="auto"/>
                <w:kern w:val="0"/>
                <w:sz w:val="22"/>
                <w:szCs w:val="22"/>
                <w:highlight w:val="none"/>
                <w:lang w:eastAsia="zh-CN"/>
              </w:rPr>
            </w:pPr>
            <w:r>
              <w:rPr>
                <w:rFonts w:hint="eastAsia" w:ascii="新宋体" w:hAnsi="新宋体" w:eastAsia="新宋体" w:cs="新宋体"/>
                <w:snapToGrid w:val="0"/>
                <w:color w:val="auto"/>
                <w:kern w:val="0"/>
                <w:sz w:val="22"/>
                <w:szCs w:val="22"/>
                <w:highlight w:val="none"/>
              </w:rPr>
              <w:t>投标人</w:t>
            </w:r>
            <w:r>
              <w:rPr>
                <w:rFonts w:hint="eastAsia" w:ascii="新宋体" w:hAnsi="新宋体" w:eastAsia="新宋体" w:cs="新宋体"/>
                <w:snapToGrid w:val="0"/>
                <w:color w:val="auto"/>
                <w:kern w:val="0"/>
                <w:sz w:val="22"/>
                <w:szCs w:val="22"/>
                <w:highlight w:val="none"/>
                <w:lang w:val="en-US" w:eastAsia="zh-CN"/>
              </w:rPr>
              <w:t>情况</w:t>
            </w:r>
          </w:p>
        </w:tc>
        <w:tc>
          <w:tcPr>
            <w:tcW w:w="675" w:type="dxa"/>
            <w:noWrap w:val="0"/>
            <w:vAlign w:val="center"/>
          </w:tcPr>
          <w:p w14:paraId="59FE823D">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default" w:ascii="新宋体" w:hAnsi="新宋体" w:eastAsia="新宋体" w:cs="新宋体"/>
                <w:snapToGrid w:val="0"/>
                <w:color w:val="auto"/>
                <w:kern w:val="0"/>
                <w:sz w:val="22"/>
                <w:szCs w:val="22"/>
                <w:highlight w:val="none"/>
                <w:lang w:val="en-US" w:eastAsia="zh-CN"/>
              </w:rPr>
            </w:pPr>
            <w:r>
              <w:rPr>
                <w:rFonts w:hint="eastAsia" w:ascii="新宋体" w:hAnsi="新宋体" w:eastAsia="新宋体" w:cs="新宋体"/>
                <w:snapToGrid w:val="0"/>
                <w:color w:val="auto"/>
                <w:kern w:val="0"/>
                <w:sz w:val="22"/>
                <w:szCs w:val="22"/>
                <w:highlight w:val="none"/>
                <w:lang w:val="en-US" w:eastAsia="zh-CN"/>
              </w:rPr>
              <w:t>3分</w:t>
            </w:r>
          </w:p>
        </w:tc>
        <w:tc>
          <w:tcPr>
            <w:tcW w:w="7186" w:type="dxa"/>
            <w:shd w:val="clear" w:color="auto" w:fill="auto"/>
            <w:noWrap w:val="0"/>
            <w:vAlign w:val="center"/>
          </w:tcPr>
          <w:p w14:paraId="38F3BFAF">
            <w:pPr>
              <w:keepNext w:val="0"/>
              <w:keepLines w:val="0"/>
              <w:pageBreakBefore w:val="0"/>
              <w:kinsoku/>
              <w:wordWrap/>
              <w:overflowPunct/>
              <w:topLinePunct w:val="0"/>
              <w:bidi w:val="0"/>
              <w:spacing w:line="460" w:lineRule="exact"/>
              <w:textAlignment w:val="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rPr>
              <w:t>投标人管理体系认证情况</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投标人具有ISO9001质量管理体系认证、ISO14001环境管理体系认证、ISO45001职业健康安全管理体系认证，每提供一项有效的认证证书得1分，本项最多得3分。提供相关认证证书原件扫描件（加盖公章），</w:t>
            </w:r>
            <w:r>
              <w:rPr>
                <w:rFonts w:hint="eastAsia" w:ascii="新宋体" w:hAnsi="新宋体" w:eastAsia="新宋体" w:cs="新宋体"/>
                <w:color w:val="auto"/>
                <w:sz w:val="22"/>
                <w:szCs w:val="22"/>
                <w:highlight w:val="none"/>
                <w:lang w:val="en-US" w:eastAsia="zh-CN"/>
              </w:rPr>
              <w:t>认证范围须涵盖“洗涤”，</w:t>
            </w:r>
            <w:r>
              <w:rPr>
                <w:rFonts w:hint="eastAsia" w:ascii="新宋体" w:hAnsi="新宋体" w:eastAsia="新宋体" w:cs="新宋体"/>
                <w:color w:val="auto"/>
                <w:sz w:val="22"/>
                <w:szCs w:val="22"/>
                <w:highlight w:val="none"/>
              </w:rPr>
              <w:t>未提供证书扫描件或提供的证书无效的，不得分。</w:t>
            </w:r>
          </w:p>
        </w:tc>
      </w:tr>
      <w:tr w14:paraId="0D614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2" w:type="dxa"/>
            <w:noWrap w:val="0"/>
            <w:vAlign w:val="center"/>
          </w:tcPr>
          <w:p w14:paraId="2D4EE40D">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snapToGrid w:val="0"/>
                <w:color w:val="auto"/>
                <w:kern w:val="0"/>
                <w:sz w:val="22"/>
                <w:szCs w:val="22"/>
                <w:highlight w:val="none"/>
                <w:lang w:val="en-US" w:eastAsia="zh-CN"/>
              </w:rPr>
            </w:pPr>
            <w:r>
              <w:rPr>
                <w:rFonts w:hint="eastAsia" w:ascii="新宋体" w:hAnsi="新宋体" w:eastAsia="新宋体" w:cs="新宋体"/>
                <w:snapToGrid w:val="0"/>
                <w:color w:val="auto"/>
                <w:kern w:val="0"/>
                <w:sz w:val="22"/>
                <w:szCs w:val="22"/>
                <w:highlight w:val="none"/>
                <w:lang w:val="en-US" w:eastAsia="zh-CN"/>
              </w:rPr>
              <w:t>2</w:t>
            </w:r>
          </w:p>
        </w:tc>
        <w:tc>
          <w:tcPr>
            <w:tcW w:w="1365" w:type="dxa"/>
            <w:noWrap w:val="0"/>
            <w:vAlign w:val="center"/>
          </w:tcPr>
          <w:p w14:paraId="42C785B3">
            <w:pPr>
              <w:keepNext w:val="0"/>
              <w:keepLines w:val="0"/>
              <w:pageBreakBefore w:val="0"/>
              <w:kinsoku/>
              <w:wordWrap/>
              <w:overflowPunct/>
              <w:topLinePunct w:val="0"/>
              <w:bidi w:val="0"/>
              <w:adjustRightInd w:val="0"/>
              <w:snapToGrid w:val="0"/>
              <w:spacing w:line="460" w:lineRule="exact"/>
              <w:ind w:left="0" w:firstLine="0" w:firstLineChars="0"/>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洗涤服务检测报告情况</w:t>
            </w:r>
          </w:p>
        </w:tc>
        <w:tc>
          <w:tcPr>
            <w:tcW w:w="675" w:type="dxa"/>
            <w:noWrap w:val="0"/>
            <w:vAlign w:val="center"/>
          </w:tcPr>
          <w:p w14:paraId="51F77146">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snapToGrid w:val="0"/>
                <w:color w:val="auto"/>
                <w:kern w:val="0"/>
                <w:sz w:val="22"/>
                <w:szCs w:val="22"/>
                <w:highlight w:val="none"/>
                <w:lang w:val="en-US" w:eastAsia="zh-CN"/>
              </w:rPr>
            </w:pPr>
            <w:r>
              <w:rPr>
                <w:rFonts w:hint="eastAsia" w:ascii="新宋体" w:hAnsi="新宋体" w:eastAsia="新宋体" w:cs="新宋体"/>
                <w:snapToGrid w:val="0"/>
                <w:color w:val="auto"/>
                <w:kern w:val="0"/>
                <w:sz w:val="22"/>
                <w:szCs w:val="22"/>
                <w:highlight w:val="none"/>
                <w:lang w:val="en-US" w:eastAsia="zh-CN"/>
              </w:rPr>
              <w:t>3分</w:t>
            </w:r>
          </w:p>
        </w:tc>
        <w:tc>
          <w:tcPr>
            <w:tcW w:w="7186" w:type="dxa"/>
            <w:noWrap w:val="0"/>
            <w:vAlign w:val="center"/>
          </w:tcPr>
          <w:p w14:paraId="48EB8FFE">
            <w:pPr>
              <w:keepNext w:val="0"/>
              <w:keepLines w:val="0"/>
              <w:pageBreakBefore w:val="0"/>
              <w:kinsoku/>
              <w:wordWrap/>
              <w:overflowPunct/>
              <w:topLinePunct w:val="0"/>
              <w:bidi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洗涤服务检测情况</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根据投标人洗涤服务检测情况进行评</w:t>
            </w:r>
            <w:r>
              <w:rPr>
                <w:rFonts w:hint="eastAsia" w:ascii="新宋体" w:hAnsi="新宋体" w:eastAsia="新宋体" w:cs="新宋体"/>
                <w:color w:val="auto"/>
                <w:sz w:val="22"/>
                <w:szCs w:val="22"/>
                <w:highlight w:val="none"/>
                <w:lang w:val="en-US" w:eastAsia="zh-CN"/>
              </w:rPr>
              <w:t>审</w:t>
            </w:r>
            <w:r>
              <w:rPr>
                <w:rFonts w:hint="eastAsia" w:ascii="新宋体" w:hAnsi="新宋体" w:eastAsia="新宋体" w:cs="新宋体"/>
                <w:color w:val="auto"/>
                <w:sz w:val="22"/>
                <w:szCs w:val="22"/>
                <w:highlight w:val="none"/>
              </w:rPr>
              <w:t>：</w:t>
            </w:r>
          </w:p>
          <w:p w14:paraId="08EB4C19">
            <w:pPr>
              <w:keepNext w:val="0"/>
              <w:keepLines w:val="0"/>
              <w:pageBreakBefore w:val="0"/>
              <w:widowControl/>
              <w:kinsoku/>
              <w:wordWrap/>
              <w:overflowPunct/>
              <w:topLinePunct w:val="0"/>
              <w:bidi w:val="0"/>
              <w:snapToGrid w:val="0"/>
              <w:spacing w:line="460" w:lineRule="exact"/>
              <w:ind w:left="0" w:firstLine="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提供</w:t>
            </w:r>
            <w:r>
              <w:rPr>
                <w:rFonts w:hint="eastAsia" w:ascii="新宋体" w:hAnsi="新宋体" w:eastAsia="新宋体" w:cs="新宋体"/>
                <w:color w:val="auto"/>
                <w:sz w:val="22"/>
                <w:szCs w:val="22"/>
                <w:highlight w:val="none"/>
                <w:lang w:val="en-US" w:eastAsia="zh-CN"/>
              </w:rPr>
              <w:t>在2022年1月1日以来（以报告时间为准）</w:t>
            </w:r>
            <w:r>
              <w:rPr>
                <w:rFonts w:hint="eastAsia" w:ascii="新宋体" w:hAnsi="新宋体" w:eastAsia="新宋体" w:cs="新宋体"/>
                <w:color w:val="auto"/>
                <w:sz w:val="22"/>
                <w:szCs w:val="22"/>
                <w:highlight w:val="none"/>
              </w:rPr>
              <w:t>符合GB15982-2012《医院消毒卫生标准》的CMA检测报告。检测报告须有国家认证认可监管管理管委会认可的检测机构出具，检测对象为洗涤后织物（床单，被套，病员上衣</w:t>
            </w:r>
            <w:r>
              <w:rPr>
                <w:rFonts w:hint="eastAsia" w:ascii="新宋体" w:hAnsi="新宋体" w:eastAsia="新宋体" w:cs="新宋体"/>
                <w:color w:val="auto"/>
                <w:sz w:val="22"/>
                <w:szCs w:val="22"/>
                <w:highlight w:val="none"/>
                <w:lang w:eastAsia="zh-CN"/>
              </w:rPr>
              <w:t>，白大褂，护士服，秋衣</w:t>
            </w:r>
            <w:r>
              <w:rPr>
                <w:rFonts w:hint="eastAsia" w:ascii="新宋体" w:hAnsi="新宋体" w:eastAsia="新宋体" w:cs="新宋体"/>
                <w:color w:val="auto"/>
                <w:sz w:val="22"/>
                <w:szCs w:val="22"/>
                <w:highlight w:val="none"/>
              </w:rPr>
              <w:t>），检测结论为合格或符合相关标准，每提供一份得1分，最多得3分。同一检测对象不重复计分。</w:t>
            </w:r>
          </w:p>
        </w:tc>
      </w:tr>
      <w:tr w14:paraId="22B50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2" w:type="dxa"/>
            <w:noWrap w:val="0"/>
            <w:vAlign w:val="center"/>
          </w:tcPr>
          <w:p w14:paraId="4D0B1CBD">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snapToGrid w:val="0"/>
                <w:color w:val="auto"/>
                <w:kern w:val="0"/>
                <w:sz w:val="22"/>
                <w:szCs w:val="22"/>
                <w:highlight w:val="none"/>
                <w:lang w:eastAsia="zh-CN"/>
              </w:rPr>
            </w:pPr>
            <w:r>
              <w:rPr>
                <w:rFonts w:hint="eastAsia" w:ascii="新宋体" w:hAnsi="新宋体" w:eastAsia="新宋体" w:cs="新宋体"/>
                <w:snapToGrid w:val="0"/>
                <w:color w:val="auto"/>
                <w:kern w:val="0"/>
                <w:sz w:val="22"/>
                <w:szCs w:val="22"/>
                <w:highlight w:val="none"/>
                <w:lang w:val="en-US" w:eastAsia="zh-CN"/>
              </w:rPr>
              <w:t>3</w:t>
            </w:r>
          </w:p>
        </w:tc>
        <w:tc>
          <w:tcPr>
            <w:tcW w:w="1365" w:type="dxa"/>
            <w:noWrap w:val="0"/>
            <w:vAlign w:val="center"/>
          </w:tcPr>
          <w:p w14:paraId="5BFE42CA">
            <w:pPr>
              <w:keepNext w:val="0"/>
              <w:keepLines w:val="0"/>
              <w:pageBreakBefore w:val="0"/>
              <w:kinsoku/>
              <w:wordWrap/>
              <w:overflowPunct/>
              <w:topLinePunct w:val="0"/>
              <w:bidi w:val="0"/>
              <w:adjustRightInd w:val="0"/>
              <w:snapToGrid w:val="0"/>
              <w:spacing w:line="460" w:lineRule="exact"/>
              <w:ind w:left="0" w:firstLine="0" w:firstLineChars="0"/>
              <w:jc w:val="left"/>
              <w:textAlignment w:val="auto"/>
              <w:rPr>
                <w:rFonts w:hint="eastAsia" w:ascii="新宋体" w:hAnsi="新宋体" w:eastAsia="新宋体" w:cs="新宋体"/>
                <w:snapToGrid w:val="0"/>
                <w:color w:val="auto"/>
                <w:kern w:val="0"/>
                <w:sz w:val="22"/>
                <w:szCs w:val="22"/>
                <w:highlight w:val="none"/>
              </w:rPr>
            </w:pPr>
            <w:r>
              <w:rPr>
                <w:rFonts w:hint="eastAsia" w:ascii="新宋体" w:hAnsi="新宋体" w:eastAsia="新宋体" w:cs="新宋体"/>
                <w:snapToGrid w:val="0"/>
                <w:color w:val="auto"/>
                <w:kern w:val="0"/>
                <w:sz w:val="22"/>
                <w:szCs w:val="22"/>
                <w:highlight w:val="none"/>
              </w:rPr>
              <w:t>投标人环保认证情况</w:t>
            </w:r>
          </w:p>
        </w:tc>
        <w:tc>
          <w:tcPr>
            <w:tcW w:w="675" w:type="dxa"/>
            <w:noWrap w:val="0"/>
            <w:vAlign w:val="center"/>
          </w:tcPr>
          <w:p w14:paraId="7E4405DD">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snapToGrid w:val="0"/>
                <w:color w:val="auto"/>
                <w:kern w:val="0"/>
                <w:sz w:val="22"/>
                <w:szCs w:val="22"/>
                <w:highlight w:val="none"/>
                <w:lang w:eastAsia="zh-CN"/>
              </w:rPr>
            </w:pPr>
            <w:r>
              <w:rPr>
                <w:rFonts w:hint="eastAsia" w:ascii="新宋体" w:hAnsi="新宋体" w:eastAsia="新宋体" w:cs="新宋体"/>
                <w:snapToGrid w:val="0"/>
                <w:color w:val="auto"/>
                <w:kern w:val="0"/>
                <w:sz w:val="22"/>
                <w:szCs w:val="22"/>
                <w:highlight w:val="none"/>
                <w:lang w:val="en-US" w:eastAsia="zh-CN"/>
              </w:rPr>
              <w:t>2分</w:t>
            </w:r>
          </w:p>
        </w:tc>
        <w:tc>
          <w:tcPr>
            <w:tcW w:w="7186" w:type="dxa"/>
            <w:noWrap w:val="0"/>
            <w:vAlign w:val="center"/>
          </w:tcPr>
          <w:p w14:paraId="40088CC5">
            <w:pPr>
              <w:keepNext w:val="0"/>
              <w:keepLines w:val="0"/>
              <w:pageBreakBefore w:val="0"/>
              <w:widowControl/>
              <w:kinsoku/>
              <w:wordWrap/>
              <w:overflowPunct/>
              <w:topLinePunct w:val="0"/>
              <w:bidi w:val="0"/>
              <w:snapToGrid w:val="0"/>
              <w:spacing w:line="460" w:lineRule="exact"/>
              <w:ind w:left="0" w:firstLine="0" w:firstLineChars="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投标人环保认证情况，投标人具备有效的建设项目环境影响登记表（备案依据包括医疗机构衣物集中洗涤）或环保部门颁发的排放污染物许可证或排污权证书的得</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分</w:t>
            </w:r>
            <w:r>
              <w:rPr>
                <w:rFonts w:hint="eastAsia" w:ascii="新宋体" w:hAnsi="新宋体" w:eastAsia="新宋体" w:cs="新宋体"/>
                <w:color w:val="auto"/>
                <w:sz w:val="22"/>
                <w:szCs w:val="22"/>
                <w:highlight w:val="none"/>
                <w:lang w:eastAsia="zh-CN"/>
              </w:rPr>
              <w:t>。</w:t>
            </w:r>
          </w:p>
        </w:tc>
      </w:tr>
      <w:tr w14:paraId="716E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2" w:type="dxa"/>
            <w:noWrap w:val="0"/>
            <w:vAlign w:val="center"/>
          </w:tcPr>
          <w:p w14:paraId="661212E3">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snapToGrid w:val="0"/>
                <w:color w:val="auto"/>
                <w:kern w:val="0"/>
                <w:sz w:val="22"/>
                <w:szCs w:val="22"/>
                <w:highlight w:val="none"/>
                <w:lang w:eastAsia="zh-CN"/>
              </w:rPr>
            </w:pPr>
            <w:r>
              <w:rPr>
                <w:rFonts w:hint="eastAsia" w:ascii="新宋体" w:hAnsi="新宋体" w:eastAsia="新宋体" w:cs="新宋体"/>
                <w:snapToGrid w:val="0"/>
                <w:color w:val="auto"/>
                <w:kern w:val="0"/>
                <w:sz w:val="22"/>
                <w:szCs w:val="22"/>
                <w:highlight w:val="none"/>
                <w:lang w:val="en-US" w:eastAsia="zh-CN"/>
              </w:rPr>
              <w:t>4</w:t>
            </w:r>
          </w:p>
        </w:tc>
        <w:tc>
          <w:tcPr>
            <w:tcW w:w="1365" w:type="dxa"/>
            <w:noWrap w:val="0"/>
            <w:vAlign w:val="center"/>
          </w:tcPr>
          <w:p w14:paraId="3B41FB6F">
            <w:pPr>
              <w:keepNext w:val="0"/>
              <w:keepLines w:val="0"/>
              <w:pageBreakBefore w:val="0"/>
              <w:kinsoku/>
              <w:wordWrap/>
              <w:overflowPunct/>
              <w:topLinePunct w:val="0"/>
              <w:bidi w:val="0"/>
              <w:adjustRightInd w:val="0"/>
              <w:snapToGrid w:val="0"/>
              <w:spacing w:line="460" w:lineRule="exact"/>
              <w:ind w:left="0" w:firstLine="0" w:firstLineChars="0"/>
              <w:jc w:val="left"/>
              <w:textAlignment w:val="auto"/>
              <w:rPr>
                <w:rFonts w:hint="eastAsia" w:ascii="新宋体" w:hAnsi="新宋体" w:eastAsia="新宋体" w:cs="新宋体"/>
                <w:snapToGrid w:val="0"/>
                <w:color w:val="auto"/>
                <w:kern w:val="0"/>
                <w:sz w:val="22"/>
                <w:szCs w:val="22"/>
                <w:highlight w:val="none"/>
              </w:rPr>
            </w:pPr>
            <w:r>
              <w:rPr>
                <w:rFonts w:hint="eastAsia" w:ascii="新宋体" w:hAnsi="新宋体" w:eastAsia="新宋体" w:cs="新宋体"/>
                <w:snapToGrid w:val="0"/>
                <w:color w:val="auto"/>
                <w:kern w:val="0"/>
                <w:sz w:val="22"/>
                <w:szCs w:val="22"/>
                <w:highlight w:val="none"/>
              </w:rPr>
              <w:t>业绩</w:t>
            </w:r>
          </w:p>
        </w:tc>
        <w:tc>
          <w:tcPr>
            <w:tcW w:w="675" w:type="dxa"/>
            <w:noWrap w:val="0"/>
            <w:vAlign w:val="center"/>
          </w:tcPr>
          <w:p w14:paraId="31722176">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snapToGrid w:val="0"/>
                <w:color w:val="auto"/>
                <w:kern w:val="0"/>
                <w:sz w:val="22"/>
                <w:szCs w:val="22"/>
                <w:highlight w:val="none"/>
                <w:lang w:eastAsia="zh-CN"/>
              </w:rPr>
            </w:pPr>
            <w:r>
              <w:rPr>
                <w:rFonts w:hint="eastAsia" w:ascii="新宋体" w:hAnsi="新宋体" w:eastAsia="新宋体" w:cs="新宋体"/>
                <w:snapToGrid w:val="0"/>
                <w:color w:val="auto"/>
                <w:kern w:val="0"/>
                <w:sz w:val="22"/>
                <w:szCs w:val="22"/>
                <w:highlight w:val="none"/>
                <w:lang w:val="en-US" w:eastAsia="zh-CN"/>
              </w:rPr>
              <w:t>3分</w:t>
            </w:r>
          </w:p>
        </w:tc>
        <w:tc>
          <w:tcPr>
            <w:tcW w:w="7186" w:type="dxa"/>
            <w:noWrap w:val="0"/>
            <w:vAlign w:val="center"/>
          </w:tcPr>
          <w:p w14:paraId="56A7E630">
            <w:pPr>
              <w:keepNext w:val="0"/>
              <w:keepLines w:val="0"/>
              <w:pageBreakBefore w:val="0"/>
              <w:widowControl/>
              <w:kinsoku/>
              <w:wordWrap/>
              <w:overflowPunct/>
              <w:topLinePunct w:val="0"/>
              <w:bidi w:val="0"/>
              <w:snapToGrid w:val="0"/>
              <w:spacing w:line="460" w:lineRule="exact"/>
              <w:ind w:left="0" w:firstLine="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投标人提供20</w:t>
            </w:r>
            <w:r>
              <w:rPr>
                <w:rFonts w:hint="eastAsia" w:ascii="新宋体" w:hAnsi="新宋体" w:eastAsia="新宋体" w:cs="新宋体"/>
                <w:color w:val="auto"/>
                <w:sz w:val="22"/>
                <w:szCs w:val="22"/>
                <w:highlight w:val="none"/>
                <w:lang w:val="en-US" w:eastAsia="zh-CN"/>
              </w:rPr>
              <w:t>22</w:t>
            </w:r>
            <w:r>
              <w:rPr>
                <w:rFonts w:hint="eastAsia" w:ascii="新宋体" w:hAnsi="新宋体" w:eastAsia="新宋体" w:cs="新宋体"/>
                <w:color w:val="auto"/>
                <w:sz w:val="22"/>
                <w:szCs w:val="22"/>
                <w:highlight w:val="none"/>
              </w:rPr>
              <w:t>年1月1日（以</w:t>
            </w:r>
            <w:r>
              <w:rPr>
                <w:rFonts w:hint="eastAsia" w:ascii="新宋体" w:hAnsi="新宋体" w:eastAsia="新宋体" w:cs="新宋体"/>
                <w:color w:val="auto"/>
                <w:sz w:val="22"/>
                <w:szCs w:val="22"/>
                <w:highlight w:val="none"/>
                <w:lang w:eastAsia="zh-CN"/>
              </w:rPr>
              <w:t>合同</w:t>
            </w:r>
            <w:r>
              <w:rPr>
                <w:rFonts w:hint="eastAsia" w:ascii="新宋体" w:hAnsi="新宋体" w:eastAsia="新宋体" w:cs="新宋体"/>
                <w:color w:val="auto"/>
                <w:sz w:val="22"/>
                <w:szCs w:val="22"/>
                <w:highlight w:val="none"/>
              </w:rPr>
              <w:t>落款日期为准）以后签订的医用被服洗涤业绩，提供合同原件扫描件（加盖公章），每提供一份有效业绩得</w:t>
            </w:r>
            <w:r>
              <w:rPr>
                <w:rFonts w:hint="eastAsia" w:ascii="新宋体" w:hAnsi="新宋体" w:eastAsia="新宋体" w:cs="新宋体"/>
                <w:color w:val="auto"/>
                <w:sz w:val="22"/>
                <w:szCs w:val="22"/>
                <w:highlight w:val="none"/>
                <w:lang w:val="en-US" w:eastAsia="zh-CN"/>
              </w:rPr>
              <w:t>0.5</w:t>
            </w:r>
            <w:r>
              <w:rPr>
                <w:rFonts w:hint="eastAsia" w:ascii="新宋体" w:hAnsi="新宋体" w:eastAsia="新宋体" w:cs="新宋体"/>
                <w:color w:val="auto"/>
                <w:sz w:val="22"/>
                <w:szCs w:val="22"/>
                <w:highlight w:val="none"/>
              </w:rPr>
              <w:t>分</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本项最高为</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分。</w:t>
            </w:r>
            <w:r>
              <w:rPr>
                <w:rFonts w:hint="eastAsia" w:ascii="新宋体" w:hAnsi="新宋体" w:eastAsia="新宋体" w:cs="新宋体"/>
                <w:color w:val="auto"/>
                <w:sz w:val="22"/>
                <w:szCs w:val="22"/>
                <w:highlight w:val="none"/>
                <w:lang w:val="en-US" w:eastAsia="zh-CN"/>
              </w:rPr>
              <w:t>注：相同单位不重复计分，</w:t>
            </w:r>
            <w:r>
              <w:rPr>
                <w:rFonts w:hint="eastAsia" w:ascii="新宋体" w:hAnsi="新宋体" w:eastAsia="新宋体" w:cs="新宋体"/>
                <w:color w:val="auto"/>
                <w:sz w:val="22"/>
                <w:szCs w:val="22"/>
                <w:highlight w:val="none"/>
              </w:rPr>
              <w:t>每份业绩须提供合同复印件</w:t>
            </w:r>
            <w:r>
              <w:rPr>
                <w:rFonts w:hint="eastAsia" w:ascii="新宋体" w:hAnsi="新宋体" w:eastAsia="新宋体" w:cs="新宋体"/>
                <w:color w:val="auto"/>
                <w:sz w:val="22"/>
                <w:szCs w:val="22"/>
                <w:highlight w:val="none"/>
                <w:lang w:val="en-US" w:eastAsia="zh-CN"/>
              </w:rPr>
              <w:t>并加盖投标人公章</w:t>
            </w:r>
            <w:r>
              <w:rPr>
                <w:rFonts w:hint="eastAsia" w:ascii="新宋体" w:hAnsi="新宋体" w:eastAsia="新宋体" w:cs="新宋体"/>
                <w:color w:val="auto"/>
                <w:sz w:val="22"/>
                <w:szCs w:val="22"/>
                <w:highlight w:val="none"/>
              </w:rPr>
              <w:t>，否则不得分。</w:t>
            </w:r>
          </w:p>
        </w:tc>
      </w:tr>
      <w:tr w14:paraId="380F4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2" w:type="dxa"/>
            <w:vMerge w:val="restart"/>
            <w:noWrap w:val="0"/>
            <w:vAlign w:val="center"/>
          </w:tcPr>
          <w:p w14:paraId="7B4E0823">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snapToGrid w:val="0"/>
                <w:color w:val="auto"/>
                <w:kern w:val="0"/>
                <w:sz w:val="22"/>
                <w:szCs w:val="22"/>
                <w:highlight w:val="none"/>
                <w:lang w:eastAsia="zh-CN"/>
              </w:rPr>
            </w:pPr>
            <w:r>
              <w:rPr>
                <w:rFonts w:hint="eastAsia" w:ascii="新宋体" w:hAnsi="新宋体" w:eastAsia="新宋体" w:cs="新宋体"/>
                <w:snapToGrid w:val="0"/>
                <w:color w:val="auto"/>
                <w:kern w:val="0"/>
                <w:sz w:val="22"/>
                <w:szCs w:val="22"/>
                <w:highlight w:val="none"/>
                <w:lang w:val="en-US" w:eastAsia="zh-CN"/>
              </w:rPr>
              <w:t>5</w:t>
            </w:r>
          </w:p>
        </w:tc>
        <w:tc>
          <w:tcPr>
            <w:tcW w:w="1365" w:type="dxa"/>
            <w:vMerge w:val="restart"/>
            <w:noWrap w:val="0"/>
            <w:vAlign w:val="center"/>
          </w:tcPr>
          <w:p w14:paraId="7D195DCD">
            <w:pPr>
              <w:keepNext w:val="0"/>
              <w:keepLines w:val="0"/>
              <w:pageBreakBefore w:val="0"/>
              <w:kinsoku/>
              <w:wordWrap/>
              <w:overflowPunct/>
              <w:topLinePunct w:val="0"/>
              <w:bidi w:val="0"/>
              <w:adjustRightInd w:val="0"/>
              <w:snapToGrid w:val="0"/>
              <w:spacing w:line="460" w:lineRule="exact"/>
              <w:ind w:left="0" w:firstLine="0" w:firstLineChars="0"/>
              <w:jc w:val="left"/>
              <w:textAlignment w:val="auto"/>
              <w:rPr>
                <w:rFonts w:hint="eastAsia" w:ascii="新宋体" w:hAnsi="新宋体" w:eastAsia="新宋体" w:cs="新宋体"/>
                <w:snapToGrid w:val="0"/>
                <w:color w:val="auto"/>
                <w:kern w:val="0"/>
                <w:sz w:val="22"/>
                <w:szCs w:val="22"/>
                <w:highlight w:val="none"/>
                <w:lang w:eastAsia="zh-CN"/>
              </w:rPr>
            </w:pPr>
            <w:r>
              <w:rPr>
                <w:rFonts w:hint="eastAsia" w:ascii="新宋体" w:hAnsi="新宋体" w:eastAsia="新宋体" w:cs="新宋体"/>
                <w:color w:val="auto"/>
                <w:sz w:val="22"/>
                <w:szCs w:val="22"/>
                <w:highlight w:val="none"/>
              </w:rPr>
              <w:t>洗涤服务方案和措施</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根据响应方案和措施的可行性、有效性</w:t>
            </w:r>
            <w:r>
              <w:rPr>
                <w:rFonts w:hint="eastAsia" w:ascii="新宋体" w:hAnsi="新宋体" w:eastAsia="新宋体" w:cs="新宋体"/>
                <w:color w:val="auto"/>
                <w:sz w:val="22"/>
                <w:szCs w:val="22"/>
                <w:highlight w:val="none"/>
                <w:lang w:val="en-US" w:eastAsia="zh-CN"/>
              </w:rPr>
              <w:t>等综合评审</w:t>
            </w:r>
            <w:r>
              <w:rPr>
                <w:rFonts w:hint="eastAsia" w:ascii="新宋体" w:hAnsi="新宋体" w:eastAsia="新宋体" w:cs="新宋体"/>
                <w:color w:val="auto"/>
                <w:sz w:val="22"/>
                <w:szCs w:val="22"/>
                <w:highlight w:val="none"/>
                <w:lang w:eastAsia="zh-CN"/>
              </w:rPr>
              <w:t>）</w:t>
            </w:r>
          </w:p>
        </w:tc>
        <w:tc>
          <w:tcPr>
            <w:tcW w:w="675" w:type="dxa"/>
            <w:noWrap w:val="0"/>
            <w:vAlign w:val="center"/>
          </w:tcPr>
          <w:p w14:paraId="064C330D">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snapToGrid w:val="0"/>
                <w:color w:val="auto"/>
                <w:kern w:val="0"/>
                <w:sz w:val="22"/>
                <w:szCs w:val="22"/>
                <w:highlight w:val="none"/>
                <w:lang w:val="en-US" w:eastAsia="zh-CN"/>
              </w:rPr>
            </w:pPr>
            <w:r>
              <w:rPr>
                <w:rFonts w:hint="eastAsia" w:ascii="新宋体" w:hAnsi="新宋体" w:eastAsia="新宋体" w:cs="新宋体"/>
                <w:snapToGrid w:val="0"/>
                <w:color w:val="auto"/>
                <w:kern w:val="0"/>
                <w:sz w:val="22"/>
                <w:szCs w:val="22"/>
                <w:highlight w:val="none"/>
                <w:lang w:val="en-US" w:eastAsia="zh-CN"/>
              </w:rPr>
              <w:t>3分</w:t>
            </w:r>
          </w:p>
        </w:tc>
        <w:tc>
          <w:tcPr>
            <w:tcW w:w="7186" w:type="dxa"/>
            <w:noWrap w:val="0"/>
            <w:vAlign w:val="center"/>
          </w:tcPr>
          <w:p w14:paraId="171A8DE0">
            <w:pPr>
              <w:keepNext w:val="0"/>
              <w:keepLines w:val="0"/>
              <w:pageBreakBefore w:val="0"/>
              <w:kinsoku/>
              <w:wordWrap/>
              <w:overflowPunct/>
              <w:topLinePunct w:val="0"/>
              <w:bidi w:val="0"/>
              <w:spacing w:line="460" w:lineRule="exac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医院衣物洗涤一般性要求响应方案及措施；</w:t>
            </w:r>
            <w:r>
              <w:rPr>
                <w:rFonts w:hint="eastAsia" w:ascii="新宋体" w:hAnsi="新宋体" w:eastAsia="新宋体" w:cs="新宋体"/>
                <w:color w:val="auto"/>
                <w:sz w:val="22"/>
                <w:szCs w:val="22"/>
                <w:highlight w:val="none"/>
                <w:lang w:val="zh-CN"/>
              </w:rPr>
              <w:t>（评分范围：</w:t>
            </w:r>
            <w:r>
              <w:rPr>
                <w:rFonts w:hint="eastAsia" w:ascii="新宋体" w:hAnsi="新宋体" w:eastAsia="新宋体" w:cs="新宋体"/>
                <w:color w:val="auto"/>
                <w:sz w:val="22"/>
                <w:szCs w:val="22"/>
                <w:highlight w:val="none"/>
                <w:lang w:val="en-US" w:eastAsia="zh-CN"/>
              </w:rPr>
              <w:t>3、2、1、</w:t>
            </w:r>
            <w:r>
              <w:rPr>
                <w:rFonts w:hint="eastAsia" w:ascii="新宋体" w:hAnsi="新宋体" w:eastAsia="新宋体" w:cs="新宋体"/>
                <w:color w:val="auto"/>
                <w:sz w:val="22"/>
                <w:szCs w:val="22"/>
                <w:highlight w:val="none"/>
              </w:rPr>
              <w:t>0</w:t>
            </w:r>
            <w:r>
              <w:rPr>
                <w:rFonts w:hint="eastAsia" w:ascii="新宋体" w:hAnsi="新宋体" w:eastAsia="新宋体" w:cs="新宋体"/>
                <w:color w:val="auto"/>
                <w:sz w:val="22"/>
                <w:szCs w:val="22"/>
                <w:highlight w:val="none"/>
                <w:lang w:val="zh-CN"/>
              </w:rPr>
              <w:t>）</w:t>
            </w:r>
          </w:p>
        </w:tc>
      </w:tr>
      <w:tr w14:paraId="0A35A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2" w:type="dxa"/>
            <w:vMerge w:val="continue"/>
            <w:noWrap w:val="0"/>
            <w:vAlign w:val="center"/>
          </w:tcPr>
          <w:p w14:paraId="3FCB5AA4">
            <w:pPr>
              <w:keepNext w:val="0"/>
              <w:keepLines w:val="0"/>
              <w:pageBreakBefore w:val="0"/>
              <w:widowControl/>
              <w:kinsoku/>
              <w:wordWrap/>
              <w:overflowPunct/>
              <w:topLinePunct w:val="0"/>
              <w:bidi w:val="0"/>
              <w:snapToGrid w:val="0"/>
              <w:spacing w:line="460" w:lineRule="exact"/>
              <w:ind w:left="0" w:firstLine="0" w:firstLineChars="0"/>
              <w:textAlignment w:val="auto"/>
              <w:rPr>
                <w:rFonts w:hint="eastAsia" w:ascii="新宋体" w:hAnsi="新宋体" w:eastAsia="新宋体" w:cs="新宋体"/>
                <w:color w:val="auto"/>
                <w:sz w:val="22"/>
                <w:szCs w:val="22"/>
                <w:highlight w:val="none"/>
              </w:rPr>
            </w:pPr>
          </w:p>
        </w:tc>
        <w:tc>
          <w:tcPr>
            <w:tcW w:w="1365" w:type="dxa"/>
            <w:vMerge w:val="continue"/>
            <w:noWrap w:val="0"/>
            <w:vAlign w:val="center"/>
          </w:tcPr>
          <w:p w14:paraId="57B8EC7A">
            <w:pPr>
              <w:keepNext w:val="0"/>
              <w:keepLines w:val="0"/>
              <w:pageBreakBefore w:val="0"/>
              <w:widowControl/>
              <w:kinsoku/>
              <w:wordWrap/>
              <w:overflowPunct/>
              <w:topLinePunct w:val="0"/>
              <w:bidi w:val="0"/>
              <w:snapToGrid w:val="0"/>
              <w:spacing w:line="460" w:lineRule="exact"/>
              <w:ind w:left="0" w:firstLine="0" w:firstLineChars="0"/>
              <w:jc w:val="left"/>
              <w:textAlignment w:val="auto"/>
              <w:rPr>
                <w:rFonts w:hint="eastAsia" w:ascii="新宋体" w:hAnsi="新宋体" w:eastAsia="新宋体" w:cs="新宋体"/>
                <w:color w:val="auto"/>
                <w:sz w:val="22"/>
                <w:szCs w:val="22"/>
                <w:highlight w:val="none"/>
              </w:rPr>
            </w:pPr>
          </w:p>
        </w:tc>
        <w:tc>
          <w:tcPr>
            <w:tcW w:w="675" w:type="dxa"/>
            <w:noWrap w:val="0"/>
            <w:vAlign w:val="center"/>
          </w:tcPr>
          <w:p w14:paraId="1A9E8641">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snapToGrid w:val="0"/>
                <w:color w:val="auto"/>
                <w:kern w:val="0"/>
                <w:sz w:val="22"/>
                <w:szCs w:val="22"/>
                <w:highlight w:val="none"/>
                <w:lang w:val="en-US" w:eastAsia="zh-CN"/>
              </w:rPr>
            </w:pPr>
            <w:r>
              <w:rPr>
                <w:rFonts w:hint="eastAsia" w:ascii="新宋体" w:hAnsi="新宋体" w:eastAsia="新宋体" w:cs="新宋体"/>
                <w:snapToGrid w:val="0"/>
                <w:color w:val="auto"/>
                <w:kern w:val="0"/>
                <w:sz w:val="22"/>
                <w:szCs w:val="22"/>
                <w:highlight w:val="none"/>
                <w:lang w:val="en-US" w:eastAsia="zh-CN"/>
              </w:rPr>
              <w:t>3分</w:t>
            </w:r>
          </w:p>
        </w:tc>
        <w:tc>
          <w:tcPr>
            <w:tcW w:w="7186" w:type="dxa"/>
            <w:noWrap w:val="0"/>
            <w:vAlign w:val="center"/>
          </w:tcPr>
          <w:p w14:paraId="5297EA92">
            <w:pPr>
              <w:keepNext w:val="0"/>
              <w:keepLines w:val="0"/>
              <w:pageBreakBefore w:val="0"/>
              <w:kinsoku/>
              <w:wordWrap/>
              <w:overflowPunct/>
              <w:topLinePunct w:val="0"/>
              <w:bidi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洁净度要求响应方案及措施；</w:t>
            </w:r>
            <w:r>
              <w:rPr>
                <w:rFonts w:hint="eastAsia" w:ascii="新宋体" w:hAnsi="新宋体" w:eastAsia="新宋体" w:cs="新宋体"/>
                <w:color w:val="auto"/>
                <w:sz w:val="22"/>
                <w:szCs w:val="22"/>
                <w:highlight w:val="none"/>
                <w:lang w:val="zh-CN"/>
              </w:rPr>
              <w:t>（评分范围：</w:t>
            </w:r>
            <w:r>
              <w:rPr>
                <w:rFonts w:hint="eastAsia" w:ascii="新宋体" w:hAnsi="新宋体" w:eastAsia="新宋体" w:cs="新宋体"/>
                <w:color w:val="auto"/>
                <w:sz w:val="22"/>
                <w:szCs w:val="22"/>
                <w:highlight w:val="none"/>
                <w:lang w:val="en-US" w:eastAsia="zh-CN"/>
              </w:rPr>
              <w:t>3、2、1、</w:t>
            </w:r>
            <w:r>
              <w:rPr>
                <w:rFonts w:hint="eastAsia" w:ascii="新宋体" w:hAnsi="新宋体" w:eastAsia="新宋体" w:cs="新宋体"/>
                <w:color w:val="auto"/>
                <w:sz w:val="22"/>
                <w:szCs w:val="22"/>
                <w:highlight w:val="none"/>
              </w:rPr>
              <w:t>0</w:t>
            </w:r>
            <w:r>
              <w:rPr>
                <w:rFonts w:hint="eastAsia" w:ascii="新宋体" w:hAnsi="新宋体" w:eastAsia="新宋体" w:cs="新宋体"/>
                <w:color w:val="auto"/>
                <w:sz w:val="22"/>
                <w:szCs w:val="22"/>
                <w:highlight w:val="none"/>
                <w:lang w:val="zh-CN"/>
              </w:rPr>
              <w:t>）</w:t>
            </w:r>
          </w:p>
        </w:tc>
      </w:tr>
      <w:tr w14:paraId="48B8B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2" w:type="dxa"/>
            <w:vMerge w:val="continue"/>
            <w:noWrap w:val="0"/>
            <w:vAlign w:val="center"/>
          </w:tcPr>
          <w:p w14:paraId="1262FFF3">
            <w:pPr>
              <w:keepNext w:val="0"/>
              <w:keepLines w:val="0"/>
              <w:pageBreakBefore w:val="0"/>
              <w:widowControl/>
              <w:kinsoku/>
              <w:wordWrap/>
              <w:overflowPunct/>
              <w:topLinePunct w:val="0"/>
              <w:bidi w:val="0"/>
              <w:snapToGrid w:val="0"/>
              <w:spacing w:line="460" w:lineRule="exact"/>
              <w:ind w:left="0" w:firstLine="0" w:firstLineChars="0"/>
              <w:textAlignment w:val="auto"/>
              <w:rPr>
                <w:rFonts w:hint="eastAsia" w:ascii="新宋体" w:hAnsi="新宋体" w:eastAsia="新宋体" w:cs="新宋体"/>
                <w:color w:val="auto"/>
                <w:sz w:val="22"/>
                <w:szCs w:val="22"/>
                <w:highlight w:val="none"/>
              </w:rPr>
            </w:pPr>
          </w:p>
        </w:tc>
        <w:tc>
          <w:tcPr>
            <w:tcW w:w="1365" w:type="dxa"/>
            <w:vMerge w:val="continue"/>
            <w:noWrap w:val="0"/>
            <w:vAlign w:val="center"/>
          </w:tcPr>
          <w:p w14:paraId="6BB6486D">
            <w:pPr>
              <w:keepNext w:val="0"/>
              <w:keepLines w:val="0"/>
              <w:pageBreakBefore w:val="0"/>
              <w:widowControl/>
              <w:kinsoku/>
              <w:wordWrap/>
              <w:overflowPunct/>
              <w:topLinePunct w:val="0"/>
              <w:bidi w:val="0"/>
              <w:snapToGrid w:val="0"/>
              <w:spacing w:line="460" w:lineRule="exact"/>
              <w:ind w:left="0" w:firstLine="0" w:firstLineChars="0"/>
              <w:jc w:val="left"/>
              <w:textAlignment w:val="auto"/>
              <w:rPr>
                <w:rFonts w:hint="eastAsia" w:ascii="新宋体" w:hAnsi="新宋体" w:eastAsia="新宋体" w:cs="新宋体"/>
                <w:color w:val="auto"/>
                <w:sz w:val="22"/>
                <w:szCs w:val="22"/>
                <w:highlight w:val="none"/>
              </w:rPr>
            </w:pPr>
          </w:p>
        </w:tc>
        <w:tc>
          <w:tcPr>
            <w:tcW w:w="675" w:type="dxa"/>
            <w:noWrap w:val="0"/>
            <w:vAlign w:val="center"/>
          </w:tcPr>
          <w:p w14:paraId="7C70D622">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snapToGrid w:val="0"/>
                <w:color w:val="auto"/>
                <w:kern w:val="0"/>
                <w:sz w:val="22"/>
                <w:szCs w:val="22"/>
                <w:highlight w:val="none"/>
                <w:lang w:val="en-US" w:eastAsia="zh-CN"/>
              </w:rPr>
            </w:pPr>
            <w:r>
              <w:rPr>
                <w:rFonts w:hint="eastAsia" w:ascii="新宋体" w:hAnsi="新宋体" w:eastAsia="新宋体" w:cs="新宋体"/>
                <w:snapToGrid w:val="0"/>
                <w:color w:val="auto"/>
                <w:kern w:val="0"/>
                <w:sz w:val="22"/>
                <w:szCs w:val="22"/>
                <w:highlight w:val="none"/>
                <w:lang w:val="en-US" w:eastAsia="zh-CN"/>
              </w:rPr>
              <w:t>3分</w:t>
            </w:r>
          </w:p>
        </w:tc>
        <w:tc>
          <w:tcPr>
            <w:tcW w:w="7186" w:type="dxa"/>
            <w:noWrap w:val="0"/>
            <w:vAlign w:val="center"/>
          </w:tcPr>
          <w:p w14:paraId="337A3397">
            <w:pPr>
              <w:keepNext w:val="0"/>
              <w:keepLines w:val="0"/>
              <w:pageBreakBefore w:val="0"/>
              <w:kinsoku/>
              <w:wordWrap/>
              <w:overflowPunct/>
              <w:topLinePunct w:val="0"/>
              <w:bidi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缝补要求响应方案及措施；</w:t>
            </w:r>
            <w:r>
              <w:rPr>
                <w:rFonts w:hint="eastAsia" w:ascii="新宋体" w:hAnsi="新宋体" w:eastAsia="新宋体" w:cs="新宋体"/>
                <w:color w:val="auto"/>
                <w:sz w:val="22"/>
                <w:szCs w:val="22"/>
                <w:highlight w:val="none"/>
                <w:lang w:val="zh-CN"/>
              </w:rPr>
              <w:t>（评分范围：</w:t>
            </w:r>
            <w:r>
              <w:rPr>
                <w:rFonts w:hint="eastAsia" w:ascii="新宋体" w:hAnsi="新宋体" w:eastAsia="新宋体" w:cs="新宋体"/>
                <w:color w:val="auto"/>
                <w:sz w:val="22"/>
                <w:szCs w:val="22"/>
                <w:highlight w:val="none"/>
                <w:lang w:val="en-US" w:eastAsia="zh-CN"/>
              </w:rPr>
              <w:t>3、2、1、</w:t>
            </w:r>
            <w:r>
              <w:rPr>
                <w:rFonts w:hint="eastAsia" w:ascii="新宋体" w:hAnsi="新宋体" w:eastAsia="新宋体" w:cs="新宋体"/>
                <w:color w:val="auto"/>
                <w:sz w:val="22"/>
                <w:szCs w:val="22"/>
                <w:highlight w:val="none"/>
              </w:rPr>
              <w:t>0</w:t>
            </w:r>
            <w:r>
              <w:rPr>
                <w:rFonts w:hint="eastAsia" w:ascii="新宋体" w:hAnsi="新宋体" w:eastAsia="新宋体" w:cs="新宋体"/>
                <w:color w:val="auto"/>
                <w:sz w:val="22"/>
                <w:szCs w:val="22"/>
                <w:highlight w:val="none"/>
                <w:lang w:val="zh-CN"/>
              </w:rPr>
              <w:t>）</w:t>
            </w:r>
          </w:p>
        </w:tc>
      </w:tr>
      <w:tr w14:paraId="79F11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2" w:type="dxa"/>
            <w:vMerge w:val="continue"/>
            <w:noWrap w:val="0"/>
            <w:vAlign w:val="center"/>
          </w:tcPr>
          <w:p w14:paraId="378FAA62">
            <w:pPr>
              <w:keepNext w:val="0"/>
              <w:keepLines w:val="0"/>
              <w:pageBreakBefore w:val="0"/>
              <w:widowControl/>
              <w:kinsoku/>
              <w:wordWrap/>
              <w:overflowPunct/>
              <w:topLinePunct w:val="0"/>
              <w:bidi w:val="0"/>
              <w:snapToGrid w:val="0"/>
              <w:spacing w:line="460" w:lineRule="exact"/>
              <w:ind w:left="0" w:firstLine="0" w:firstLineChars="0"/>
              <w:textAlignment w:val="auto"/>
              <w:rPr>
                <w:rFonts w:hint="eastAsia" w:ascii="新宋体" w:hAnsi="新宋体" w:eastAsia="新宋体" w:cs="新宋体"/>
                <w:color w:val="auto"/>
                <w:sz w:val="22"/>
                <w:szCs w:val="22"/>
                <w:highlight w:val="none"/>
              </w:rPr>
            </w:pPr>
          </w:p>
        </w:tc>
        <w:tc>
          <w:tcPr>
            <w:tcW w:w="1365" w:type="dxa"/>
            <w:vMerge w:val="continue"/>
            <w:noWrap w:val="0"/>
            <w:vAlign w:val="center"/>
          </w:tcPr>
          <w:p w14:paraId="74DA3E21">
            <w:pPr>
              <w:keepNext w:val="0"/>
              <w:keepLines w:val="0"/>
              <w:pageBreakBefore w:val="0"/>
              <w:widowControl/>
              <w:kinsoku/>
              <w:wordWrap/>
              <w:overflowPunct/>
              <w:topLinePunct w:val="0"/>
              <w:bidi w:val="0"/>
              <w:snapToGrid w:val="0"/>
              <w:spacing w:line="460" w:lineRule="exact"/>
              <w:ind w:left="0" w:firstLine="0" w:firstLineChars="0"/>
              <w:jc w:val="left"/>
              <w:textAlignment w:val="auto"/>
              <w:rPr>
                <w:rFonts w:hint="eastAsia" w:ascii="新宋体" w:hAnsi="新宋体" w:eastAsia="新宋体" w:cs="新宋体"/>
                <w:color w:val="auto"/>
                <w:sz w:val="22"/>
                <w:szCs w:val="22"/>
                <w:highlight w:val="none"/>
              </w:rPr>
            </w:pPr>
          </w:p>
        </w:tc>
        <w:tc>
          <w:tcPr>
            <w:tcW w:w="675" w:type="dxa"/>
            <w:noWrap w:val="0"/>
            <w:vAlign w:val="center"/>
          </w:tcPr>
          <w:p w14:paraId="0CA9F946">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snapToGrid w:val="0"/>
                <w:color w:val="auto"/>
                <w:kern w:val="0"/>
                <w:sz w:val="22"/>
                <w:szCs w:val="22"/>
                <w:highlight w:val="none"/>
                <w:lang w:val="en-US" w:eastAsia="zh-CN"/>
              </w:rPr>
            </w:pPr>
            <w:r>
              <w:rPr>
                <w:rFonts w:hint="eastAsia" w:ascii="新宋体" w:hAnsi="新宋体" w:eastAsia="新宋体" w:cs="新宋体"/>
                <w:snapToGrid w:val="0"/>
                <w:color w:val="auto"/>
                <w:kern w:val="0"/>
                <w:sz w:val="22"/>
                <w:szCs w:val="22"/>
                <w:highlight w:val="none"/>
                <w:lang w:val="en-US" w:eastAsia="zh-CN"/>
              </w:rPr>
              <w:t>3分</w:t>
            </w:r>
          </w:p>
        </w:tc>
        <w:tc>
          <w:tcPr>
            <w:tcW w:w="7186" w:type="dxa"/>
            <w:noWrap w:val="0"/>
            <w:vAlign w:val="center"/>
          </w:tcPr>
          <w:p w14:paraId="04CB6243">
            <w:pPr>
              <w:keepNext w:val="0"/>
              <w:keepLines w:val="0"/>
              <w:pageBreakBefore w:val="0"/>
              <w:kinsoku/>
              <w:wordWrap/>
              <w:overflowPunct/>
              <w:topLinePunct w:val="0"/>
              <w:bidi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衣被的分类和洗涤消毒要求响应方案及措施；</w:t>
            </w:r>
            <w:r>
              <w:rPr>
                <w:rFonts w:hint="eastAsia" w:ascii="新宋体" w:hAnsi="新宋体" w:eastAsia="新宋体" w:cs="新宋体"/>
                <w:color w:val="auto"/>
                <w:sz w:val="22"/>
                <w:szCs w:val="22"/>
                <w:highlight w:val="none"/>
                <w:lang w:val="zh-CN"/>
              </w:rPr>
              <w:t>（评分范围：</w:t>
            </w:r>
            <w:r>
              <w:rPr>
                <w:rFonts w:hint="eastAsia" w:ascii="新宋体" w:hAnsi="新宋体" w:eastAsia="新宋体" w:cs="新宋体"/>
                <w:color w:val="auto"/>
                <w:sz w:val="22"/>
                <w:szCs w:val="22"/>
                <w:highlight w:val="none"/>
                <w:lang w:val="en-US" w:eastAsia="zh-CN"/>
              </w:rPr>
              <w:t>3、2、1、</w:t>
            </w:r>
            <w:r>
              <w:rPr>
                <w:rFonts w:hint="eastAsia" w:ascii="新宋体" w:hAnsi="新宋体" w:eastAsia="新宋体" w:cs="新宋体"/>
                <w:color w:val="auto"/>
                <w:sz w:val="22"/>
                <w:szCs w:val="22"/>
                <w:highlight w:val="none"/>
              </w:rPr>
              <w:t>0</w:t>
            </w:r>
            <w:r>
              <w:rPr>
                <w:rFonts w:hint="eastAsia" w:ascii="新宋体" w:hAnsi="新宋体" w:eastAsia="新宋体" w:cs="新宋体"/>
                <w:color w:val="auto"/>
                <w:sz w:val="22"/>
                <w:szCs w:val="22"/>
                <w:highlight w:val="none"/>
                <w:lang w:val="zh-CN"/>
              </w:rPr>
              <w:t>）</w:t>
            </w:r>
          </w:p>
        </w:tc>
      </w:tr>
      <w:tr w14:paraId="1C117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692" w:type="dxa"/>
            <w:vMerge w:val="continue"/>
            <w:noWrap w:val="0"/>
            <w:vAlign w:val="center"/>
          </w:tcPr>
          <w:p w14:paraId="71106102">
            <w:pPr>
              <w:keepNext w:val="0"/>
              <w:keepLines w:val="0"/>
              <w:pageBreakBefore w:val="0"/>
              <w:widowControl/>
              <w:kinsoku/>
              <w:wordWrap/>
              <w:overflowPunct/>
              <w:topLinePunct w:val="0"/>
              <w:bidi w:val="0"/>
              <w:snapToGrid w:val="0"/>
              <w:spacing w:line="460" w:lineRule="exact"/>
              <w:ind w:left="0" w:firstLine="0" w:firstLineChars="0"/>
              <w:textAlignment w:val="auto"/>
              <w:rPr>
                <w:rFonts w:hint="eastAsia" w:ascii="新宋体" w:hAnsi="新宋体" w:eastAsia="新宋体" w:cs="新宋体"/>
                <w:color w:val="auto"/>
                <w:sz w:val="22"/>
                <w:szCs w:val="22"/>
                <w:highlight w:val="none"/>
              </w:rPr>
            </w:pPr>
          </w:p>
        </w:tc>
        <w:tc>
          <w:tcPr>
            <w:tcW w:w="1365" w:type="dxa"/>
            <w:vMerge w:val="continue"/>
            <w:noWrap w:val="0"/>
            <w:vAlign w:val="center"/>
          </w:tcPr>
          <w:p w14:paraId="340CBC8E">
            <w:pPr>
              <w:keepNext w:val="0"/>
              <w:keepLines w:val="0"/>
              <w:pageBreakBefore w:val="0"/>
              <w:widowControl/>
              <w:kinsoku/>
              <w:wordWrap/>
              <w:overflowPunct/>
              <w:topLinePunct w:val="0"/>
              <w:bidi w:val="0"/>
              <w:snapToGrid w:val="0"/>
              <w:spacing w:line="460" w:lineRule="exact"/>
              <w:ind w:left="0" w:firstLine="0" w:firstLineChars="0"/>
              <w:jc w:val="left"/>
              <w:textAlignment w:val="auto"/>
              <w:rPr>
                <w:rFonts w:hint="eastAsia" w:ascii="新宋体" w:hAnsi="新宋体" w:eastAsia="新宋体" w:cs="新宋体"/>
                <w:color w:val="auto"/>
                <w:sz w:val="22"/>
                <w:szCs w:val="22"/>
                <w:highlight w:val="none"/>
              </w:rPr>
            </w:pPr>
          </w:p>
        </w:tc>
        <w:tc>
          <w:tcPr>
            <w:tcW w:w="675" w:type="dxa"/>
            <w:noWrap w:val="0"/>
            <w:vAlign w:val="center"/>
          </w:tcPr>
          <w:p w14:paraId="07529BA8">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snapToGrid w:val="0"/>
                <w:color w:val="auto"/>
                <w:kern w:val="0"/>
                <w:sz w:val="22"/>
                <w:szCs w:val="22"/>
                <w:highlight w:val="none"/>
                <w:lang w:val="en-US" w:eastAsia="zh-CN"/>
              </w:rPr>
            </w:pPr>
            <w:r>
              <w:rPr>
                <w:rFonts w:hint="eastAsia" w:ascii="新宋体" w:hAnsi="新宋体" w:eastAsia="新宋体" w:cs="新宋体"/>
                <w:snapToGrid w:val="0"/>
                <w:color w:val="auto"/>
                <w:kern w:val="0"/>
                <w:sz w:val="22"/>
                <w:szCs w:val="22"/>
                <w:highlight w:val="none"/>
                <w:lang w:val="en-US" w:eastAsia="zh-CN"/>
              </w:rPr>
              <w:t>3分</w:t>
            </w:r>
          </w:p>
        </w:tc>
        <w:tc>
          <w:tcPr>
            <w:tcW w:w="7186" w:type="dxa"/>
            <w:noWrap w:val="0"/>
            <w:vAlign w:val="center"/>
          </w:tcPr>
          <w:p w14:paraId="4660C4A3">
            <w:pPr>
              <w:keepNext w:val="0"/>
              <w:keepLines w:val="0"/>
              <w:pageBreakBefore w:val="0"/>
              <w:kinsoku/>
              <w:wordWrap/>
              <w:overflowPunct/>
              <w:topLinePunct w:val="0"/>
              <w:bidi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衣被烘干、熨烫、摺叠、储存要求响应方案及措施</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zh-CN"/>
              </w:rPr>
              <w:t>（评分范围：</w:t>
            </w:r>
            <w:r>
              <w:rPr>
                <w:rFonts w:hint="eastAsia" w:ascii="新宋体" w:hAnsi="新宋体" w:eastAsia="新宋体" w:cs="新宋体"/>
                <w:color w:val="auto"/>
                <w:sz w:val="22"/>
                <w:szCs w:val="22"/>
                <w:highlight w:val="none"/>
                <w:lang w:val="en-US" w:eastAsia="zh-CN"/>
              </w:rPr>
              <w:t>3、2、1、</w:t>
            </w:r>
            <w:r>
              <w:rPr>
                <w:rFonts w:hint="eastAsia" w:ascii="新宋体" w:hAnsi="新宋体" w:eastAsia="新宋体" w:cs="新宋体"/>
                <w:color w:val="auto"/>
                <w:sz w:val="22"/>
                <w:szCs w:val="22"/>
                <w:highlight w:val="none"/>
              </w:rPr>
              <w:t>0</w:t>
            </w:r>
            <w:r>
              <w:rPr>
                <w:rFonts w:hint="eastAsia" w:ascii="新宋体" w:hAnsi="新宋体" w:eastAsia="新宋体" w:cs="新宋体"/>
                <w:color w:val="auto"/>
                <w:sz w:val="22"/>
                <w:szCs w:val="22"/>
                <w:highlight w:val="none"/>
                <w:lang w:val="zh-CN"/>
              </w:rPr>
              <w:t>）</w:t>
            </w:r>
          </w:p>
        </w:tc>
      </w:tr>
      <w:tr w14:paraId="09445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2" w:type="dxa"/>
            <w:vMerge w:val="continue"/>
            <w:noWrap w:val="0"/>
            <w:vAlign w:val="center"/>
          </w:tcPr>
          <w:p w14:paraId="02C8F016">
            <w:pPr>
              <w:keepNext w:val="0"/>
              <w:keepLines w:val="0"/>
              <w:pageBreakBefore w:val="0"/>
              <w:widowControl/>
              <w:kinsoku/>
              <w:wordWrap/>
              <w:overflowPunct/>
              <w:topLinePunct w:val="0"/>
              <w:bidi w:val="0"/>
              <w:snapToGrid w:val="0"/>
              <w:spacing w:line="460" w:lineRule="exact"/>
              <w:ind w:left="0" w:firstLine="0" w:firstLineChars="0"/>
              <w:textAlignment w:val="auto"/>
              <w:rPr>
                <w:rFonts w:hint="eastAsia" w:ascii="新宋体" w:hAnsi="新宋体" w:eastAsia="新宋体" w:cs="新宋体"/>
                <w:color w:val="auto"/>
                <w:sz w:val="22"/>
                <w:szCs w:val="22"/>
                <w:highlight w:val="none"/>
              </w:rPr>
            </w:pPr>
          </w:p>
        </w:tc>
        <w:tc>
          <w:tcPr>
            <w:tcW w:w="1365" w:type="dxa"/>
            <w:vMerge w:val="continue"/>
            <w:noWrap w:val="0"/>
            <w:vAlign w:val="center"/>
          </w:tcPr>
          <w:p w14:paraId="601F6C53">
            <w:pPr>
              <w:keepNext w:val="0"/>
              <w:keepLines w:val="0"/>
              <w:pageBreakBefore w:val="0"/>
              <w:widowControl/>
              <w:kinsoku/>
              <w:wordWrap/>
              <w:overflowPunct/>
              <w:topLinePunct w:val="0"/>
              <w:bidi w:val="0"/>
              <w:snapToGrid w:val="0"/>
              <w:spacing w:line="460" w:lineRule="exact"/>
              <w:ind w:left="0" w:firstLine="0" w:firstLineChars="0"/>
              <w:jc w:val="left"/>
              <w:textAlignment w:val="auto"/>
              <w:rPr>
                <w:rFonts w:hint="eastAsia" w:ascii="新宋体" w:hAnsi="新宋体" w:eastAsia="新宋体" w:cs="新宋体"/>
                <w:color w:val="auto"/>
                <w:sz w:val="22"/>
                <w:szCs w:val="22"/>
                <w:highlight w:val="none"/>
              </w:rPr>
            </w:pPr>
          </w:p>
        </w:tc>
        <w:tc>
          <w:tcPr>
            <w:tcW w:w="675" w:type="dxa"/>
            <w:noWrap w:val="0"/>
            <w:vAlign w:val="center"/>
          </w:tcPr>
          <w:p w14:paraId="14DC4AED">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snapToGrid w:val="0"/>
                <w:color w:val="auto"/>
                <w:kern w:val="0"/>
                <w:sz w:val="22"/>
                <w:szCs w:val="22"/>
                <w:highlight w:val="none"/>
                <w:lang w:val="en-US" w:eastAsia="zh-CN"/>
              </w:rPr>
            </w:pPr>
            <w:r>
              <w:rPr>
                <w:rFonts w:hint="eastAsia" w:ascii="新宋体" w:hAnsi="新宋体" w:eastAsia="新宋体" w:cs="新宋体"/>
                <w:snapToGrid w:val="0"/>
                <w:color w:val="auto"/>
                <w:kern w:val="0"/>
                <w:sz w:val="22"/>
                <w:szCs w:val="22"/>
                <w:highlight w:val="none"/>
                <w:lang w:val="en-US" w:eastAsia="zh-CN"/>
              </w:rPr>
              <w:t>3分</w:t>
            </w:r>
          </w:p>
        </w:tc>
        <w:tc>
          <w:tcPr>
            <w:tcW w:w="7186" w:type="dxa"/>
            <w:noWrap w:val="0"/>
            <w:vAlign w:val="center"/>
          </w:tcPr>
          <w:p w14:paraId="4E36F0B5">
            <w:pPr>
              <w:keepNext w:val="0"/>
              <w:keepLines w:val="0"/>
              <w:pageBreakBefore w:val="0"/>
              <w:kinsoku/>
              <w:wordWrap/>
              <w:overflowPunct/>
              <w:topLinePunct w:val="0"/>
              <w:bidi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衣被收集运送要求响应方案及措施</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zh-CN"/>
              </w:rPr>
              <w:t>（评分范围：</w:t>
            </w:r>
            <w:r>
              <w:rPr>
                <w:rFonts w:hint="eastAsia" w:ascii="新宋体" w:hAnsi="新宋体" w:eastAsia="新宋体" w:cs="新宋体"/>
                <w:color w:val="auto"/>
                <w:sz w:val="22"/>
                <w:szCs w:val="22"/>
                <w:highlight w:val="none"/>
                <w:lang w:val="en-US" w:eastAsia="zh-CN"/>
              </w:rPr>
              <w:t>3、2、1、</w:t>
            </w:r>
            <w:r>
              <w:rPr>
                <w:rFonts w:hint="eastAsia" w:ascii="新宋体" w:hAnsi="新宋体" w:eastAsia="新宋体" w:cs="新宋体"/>
                <w:color w:val="auto"/>
                <w:sz w:val="22"/>
                <w:szCs w:val="22"/>
                <w:highlight w:val="none"/>
              </w:rPr>
              <w:t>0</w:t>
            </w:r>
            <w:r>
              <w:rPr>
                <w:rFonts w:hint="eastAsia" w:ascii="新宋体" w:hAnsi="新宋体" w:eastAsia="新宋体" w:cs="新宋体"/>
                <w:color w:val="auto"/>
                <w:sz w:val="22"/>
                <w:szCs w:val="22"/>
                <w:highlight w:val="none"/>
                <w:lang w:val="zh-CN"/>
              </w:rPr>
              <w:t>）</w:t>
            </w:r>
          </w:p>
        </w:tc>
      </w:tr>
      <w:tr w14:paraId="5C3DE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2" w:type="dxa"/>
            <w:noWrap w:val="0"/>
            <w:vAlign w:val="center"/>
          </w:tcPr>
          <w:p w14:paraId="51B92C97">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snapToGrid w:val="0"/>
                <w:color w:val="auto"/>
                <w:kern w:val="0"/>
                <w:sz w:val="22"/>
                <w:szCs w:val="22"/>
                <w:highlight w:val="none"/>
                <w:lang w:eastAsia="zh-CN"/>
              </w:rPr>
            </w:pPr>
            <w:r>
              <w:rPr>
                <w:rFonts w:hint="eastAsia" w:ascii="新宋体" w:hAnsi="新宋体" w:eastAsia="新宋体" w:cs="新宋体"/>
                <w:snapToGrid w:val="0"/>
                <w:color w:val="auto"/>
                <w:kern w:val="0"/>
                <w:sz w:val="22"/>
                <w:szCs w:val="22"/>
                <w:highlight w:val="none"/>
                <w:lang w:val="en-US" w:eastAsia="zh-CN"/>
              </w:rPr>
              <w:t>6</w:t>
            </w:r>
          </w:p>
        </w:tc>
        <w:tc>
          <w:tcPr>
            <w:tcW w:w="1365" w:type="dxa"/>
            <w:noWrap w:val="0"/>
            <w:vAlign w:val="center"/>
          </w:tcPr>
          <w:p w14:paraId="4638A06D">
            <w:pPr>
              <w:keepNext w:val="0"/>
              <w:keepLines w:val="0"/>
              <w:pageBreakBefore w:val="0"/>
              <w:kinsoku/>
              <w:wordWrap/>
              <w:overflowPunct/>
              <w:topLinePunct w:val="0"/>
              <w:bidi w:val="0"/>
              <w:adjustRightInd w:val="0"/>
              <w:snapToGrid w:val="0"/>
              <w:spacing w:line="460" w:lineRule="exact"/>
              <w:ind w:left="0" w:firstLine="0" w:firstLineChars="0"/>
              <w:jc w:val="left"/>
              <w:textAlignment w:val="auto"/>
              <w:rPr>
                <w:rFonts w:hint="eastAsia" w:ascii="新宋体" w:hAnsi="新宋体" w:eastAsia="新宋体" w:cs="新宋体"/>
                <w:snapToGrid w:val="0"/>
                <w:color w:val="auto"/>
                <w:kern w:val="0"/>
                <w:sz w:val="22"/>
                <w:szCs w:val="22"/>
                <w:highlight w:val="none"/>
              </w:rPr>
            </w:pPr>
            <w:r>
              <w:rPr>
                <w:rFonts w:hint="eastAsia" w:ascii="新宋体" w:hAnsi="新宋体" w:eastAsia="新宋体" w:cs="新宋体"/>
                <w:snapToGrid w:val="0"/>
                <w:color w:val="auto"/>
                <w:kern w:val="0"/>
                <w:sz w:val="22"/>
                <w:szCs w:val="22"/>
                <w:highlight w:val="none"/>
              </w:rPr>
              <w:t>投入的洗涤设备情况</w:t>
            </w:r>
          </w:p>
        </w:tc>
        <w:tc>
          <w:tcPr>
            <w:tcW w:w="675" w:type="dxa"/>
            <w:noWrap w:val="0"/>
            <w:vAlign w:val="center"/>
          </w:tcPr>
          <w:p w14:paraId="1F7481BA">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snapToGrid w:val="0"/>
                <w:color w:val="auto"/>
                <w:kern w:val="0"/>
                <w:sz w:val="22"/>
                <w:szCs w:val="22"/>
                <w:highlight w:val="none"/>
                <w:lang w:val="en-US" w:eastAsia="zh-CN"/>
              </w:rPr>
            </w:pPr>
            <w:r>
              <w:rPr>
                <w:rFonts w:hint="eastAsia" w:ascii="新宋体" w:hAnsi="新宋体" w:eastAsia="新宋体" w:cs="新宋体"/>
                <w:snapToGrid w:val="0"/>
                <w:color w:val="auto"/>
                <w:kern w:val="0"/>
                <w:sz w:val="22"/>
                <w:szCs w:val="22"/>
                <w:highlight w:val="none"/>
                <w:lang w:val="en-US" w:eastAsia="zh-CN"/>
              </w:rPr>
              <w:t>6分</w:t>
            </w:r>
          </w:p>
        </w:tc>
        <w:tc>
          <w:tcPr>
            <w:tcW w:w="7186" w:type="dxa"/>
            <w:shd w:val="clear" w:color="auto" w:fill="auto"/>
            <w:noWrap w:val="0"/>
            <w:vAlign w:val="center"/>
          </w:tcPr>
          <w:p w14:paraId="3A8AD247">
            <w:pPr>
              <w:keepNext w:val="0"/>
              <w:keepLines w:val="0"/>
              <w:pageBreakBefore w:val="0"/>
              <w:kinsoku/>
              <w:wordWrap/>
              <w:overflowPunct/>
              <w:topLinePunct w:val="0"/>
              <w:bidi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w:t>
            </w:r>
            <w:r>
              <w:rPr>
                <w:rFonts w:hint="eastAsia" w:ascii="新宋体" w:hAnsi="新宋体" w:eastAsia="新宋体" w:cs="新宋体"/>
                <w:color w:val="auto"/>
                <w:sz w:val="22"/>
                <w:szCs w:val="22"/>
                <w:highlight w:val="none"/>
                <w:lang w:val="en-US" w:eastAsia="zh-CN"/>
              </w:rPr>
              <w:t>投标人</w:t>
            </w:r>
            <w:r>
              <w:rPr>
                <w:rFonts w:hint="eastAsia" w:ascii="新宋体" w:hAnsi="新宋体" w:eastAsia="新宋体" w:cs="新宋体"/>
                <w:color w:val="auto"/>
                <w:sz w:val="22"/>
                <w:szCs w:val="22"/>
                <w:highlight w:val="none"/>
              </w:rPr>
              <w:t>洗涤设备的数量、种类、性能评分。提供洗涤设备的购置证明发票或合同复印件及设备现场照片等。根据设备种类丰富先进程度，性能可靠稳定性，</w:t>
            </w:r>
            <w:r>
              <w:rPr>
                <w:rFonts w:hint="eastAsia" w:ascii="新宋体" w:hAnsi="新宋体" w:eastAsia="新宋体" w:cs="新宋体"/>
                <w:color w:val="auto"/>
                <w:sz w:val="22"/>
                <w:szCs w:val="22"/>
                <w:highlight w:val="none"/>
                <w:lang w:eastAsia="zh-CN"/>
              </w:rPr>
              <w:t>特殊衣物专用机型等，</w:t>
            </w:r>
            <w:r>
              <w:rPr>
                <w:rFonts w:hint="eastAsia" w:ascii="新宋体" w:hAnsi="新宋体" w:eastAsia="新宋体" w:cs="新宋体"/>
                <w:color w:val="auto"/>
                <w:sz w:val="22"/>
                <w:szCs w:val="22"/>
                <w:highlight w:val="none"/>
                <w:lang w:val="en-US" w:eastAsia="zh-CN"/>
              </w:rPr>
              <w:t>综合评审</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评分范围：</w:t>
            </w:r>
            <w:r>
              <w:rPr>
                <w:rFonts w:hint="eastAsia" w:ascii="新宋体" w:hAnsi="新宋体" w:eastAsia="新宋体" w:cs="新宋体"/>
                <w:color w:val="auto"/>
                <w:sz w:val="22"/>
                <w:szCs w:val="22"/>
                <w:highlight w:val="none"/>
                <w:lang w:val="en-US" w:eastAsia="zh-CN"/>
              </w:rPr>
              <w:t>6、5、4、3、2、1、0</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w:t>
            </w:r>
          </w:p>
          <w:p w14:paraId="3BB6C672">
            <w:pPr>
              <w:keepNext w:val="0"/>
              <w:keepLines w:val="0"/>
              <w:pageBreakBefore w:val="0"/>
              <w:kinsoku/>
              <w:wordWrap/>
              <w:overflowPunct/>
              <w:topLinePunct w:val="0"/>
              <w:bidi w:val="0"/>
              <w:spacing w:line="460" w:lineRule="exact"/>
              <w:textAlignment w:val="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rPr>
              <w:t>需提供相应设备的彩色照片及采购合同复印件或发票复印件（缺一不可，否则不得分）。</w:t>
            </w:r>
          </w:p>
        </w:tc>
      </w:tr>
      <w:tr w14:paraId="708D8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2" w:type="dxa"/>
            <w:noWrap w:val="0"/>
            <w:vAlign w:val="center"/>
          </w:tcPr>
          <w:p w14:paraId="2AA655FC">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snapToGrid w:val="0"/>
                <w:color w:val="auto"/>
                <w:kern w:val="0"/>
                <w:sz w:val="22"/>
                <w:szCs w:val="22"/>
                <w:highlight w:val="none"/>
                <w:lang w:eastAsia="zh-CN"/>
              </w:rPr>
            </w:pPr>
            <w:r>
              <w:rPr>
                <w:rFonts w:hint="eastAsia" w:ascii="新宋体" w:hAnsi="新宋体" w:eastAsia="新宋体" w:cs="新宋体"/>
                <w:snapToGrid w:val="0"/>
                <w:color w:val="auto"/>
                <w:kern w:val="0"/>
                <w:sz w:val="22"/>
                <w:szCs w:val="22"/>
                <w:highlight w:val="none"/>
                <w:lang w:val="en-US" w:eastAsia="zh-CN"/>
              </w:rPr>
              <w:t>7</w:t>
            </w:r>
          </w:p>
        </w:tc>
        <w:tc>
          <w:tcPr>
            <w:tcW w:w="1365" w:type="dxa"/>
            <w:noWrap w:val="0"/>
            <w:vAlign w:val="center"/>
          </w:tcPr>
          <w:p w14:paraId="7DFD80B2">
            <w:pPr>
              <w:keepNext w:val="0"/>
              <w:keepLines w:val="0"/>
              <w:pageBreakBefore w:val="0"/>
              <w:kinsoku/>
              <w:wordWrap/>
              <w:overflowPunct/>
              <w:topLinePunct w:val="0"/>
              <w:bidi w:val="0"/>
              <w:adjustRightInd w:val="0"/>
              <w:snapToGrid w:val="0"/>
              <w:spacing w:line="460" w:lineRule="exact"/>
              <w:ind w:left="0" w:firstLine="0" w:firstLineChars="0"/>
              <w:jc w:val="left"/>
              <w:textAlignment w:val="auto"/>
              <w:rPr>
                <w:rFonts w:hint="eastAsia" w:ascii="新宋体" w:hAnsi="新宋体" w:eastAsia="新宋体" w:cs="新宋体"/>
                <w:snapToGrid w:val="0"/>
                <w:color w:val="auto"/>
                <w:kern w:val="0"/>
                <w:sz w:val="22"/>
                <w:szCs w:val="22"/>
                <w:highlight w:val="none"/>
              </w:rPr>
            </w:pPr>
            <w:r>
              <w:rPr>
                <w:rFonts w:hint="eastAsia" w:ascii="新宋体" w:hAnsi="新宋体" w:eastAsia="新宋体" w:cs="新宋体"/>
                <w:snapToGrid w:val="0"/>
                <w:color w:val="auto"/>
                <w:kern w:val="0"/>
                <w:sz w:val="22"/>
                <w:szCs w:val="22"/>
                <w:highlight w:val="none"/>
              </w:rPr>
              <w:t>拟投入</w:t>
            </w:r>
            <w:r>
              <w:rPr>
                <w:rFonts w:hint="eastAsia" w:ascii="新宋体" w:hAnsi="新宋体" w:eastAsia="新宋体" w:cs="新宋体"/>
                <w:color w:val="auto"/>
                <w:sz w:val="22"/>
                <w:szCs w:val="22"/>
                <w:highlight w:val="none"/>
              </w:rPr>
              <w:t>洗涤剂</w:t>
            </w:r>
            <w:r>
              <w:rPr>
                <w:rFonts w:hint="eastAsia" w:ascii="新宋体" w:hAnsi="新宋体" w:eastAsia="新宋体" w:cs="新宋体"/>
                <w:color w:val="auto"/>
                <w:sz w:val="22"/>
                <w:szCs w:val="22"/>
                <w:highlight w:val="none"/>
                <w:lang w:eastAsia="zh-CN"/>
              </w:rPr>
              <w:t>及消毒剂</w:t>
            </w:r>
            <w:r>
              <w:rPr>
                <w:rFonts w:hint="eastAsia" w:ascii="新宋体" w:hAnsi="新宋体" w:eastAsia="新宋体" w:cs="新宋体"/>
                <w:snapToGrid w:val="0"/>
                <w:color w:val="auto"/>
                <w:kern w:val="0"/>
                <w:sz w:val="22"/>
                <w:szCs w:val="22"/>
                <w:highlight w:val="none"/>
              </w:rPr>
              <w:t>配备情况</w:t>
            </w:r>
          </w:p>
        </w:tc>
        <w:tc>
          <w:tcPr>
            <w:tcW w:w="675" w:type="dxa"/>
            <w:noWrap w:val="0"/>
            <w:vAlign w:val="center"/>
          </w:tcPr>
          <w:p w14:paraId="5209B88F">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snapToGrid w:val="0"/>
                <w:color w:val="auto"/>
                <w:kern w:val="0"/>
                <w:sz w:val="22"/>
                <w:szCs w:val="22"/>
                <w:highlight w:val="none"/>
                <w:lang w:eastAsia="zh-CN"/>
              </w:rPr>
            </w:pPr>
            <w:r>
              <w:rPr>
                <w:rFonts w:hint="eastAsia" w:ascii="新宋体" w:hAnsi="新宋体" w:eastAsia="新宋体" w:cs="新宋体"/>
                <w:snapToGrid w:val="0"/>
                <w:color w:val="auto"/>
                <w:kern w:val="0"/>
                <w:sz w:val="22"/>
                <w:szCs w:val="22"/>
                <w:highlight w:val="none"/>
                <w:lang w:val="en-US" w:eastAsia="zh-CN"/>
              </w:rPr>
              <w:t>3分</w:t>
            </w:r>
          </w:p>
        </w:tc>
        <w:tc>
          <w:tcPr>
            <w:tcW w:w="7186" w:type="dxa"/>
            <w:noWrap w:val="0"/>
            <w:vAlign w:val="center"/>
          </w:tcPr>
          <w:p w14:paraId="56341DFC">
            <w:pPr>
              <w:keepNext w:val="0"/>
              <w:keepLines w:val="0"/>
              <w:pageBreakBefore w:val="0"/>
              <w:kinsoku/>
              <w:wordWrap/>
              <w:overflowPunct/>
              <w:topLinePunct w:val="0"/>
              <w:bidi w:val="0"/>
              <w:adjustRightInd w:val="0"/>
              <w:snapToGrid w:val="0"/>
              <w:spacing w:line="460" w:lineRule="exact"/>
              <w:ind w:left="0" w:firstLine="0" w:firstLineChars="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根据投标人拟投入的洗涤剂</w:t>
            </w:r>
            <w:r>
              <w:rPr>
                <w:rFonts w:hint="eastAsia" w:ascii="新宋体" w:hAnsi="新宋体" w:eastAsia="新宋体" w:cs="新宋体"/>
                <w:color w:val="auto"/>
                <w:sz w:val="22"/>
                <w:szCs w:val="22"/>
                <w:highlight w:val="none"/>
                <w:lang w:eastAsia="zh-CN"/>
              </w:rPr>
              <w:t>及消毒剂</w:t>
            </w:r>
            <w:r>
              <w:rPr>
                <w:rFonts w:hint="eastAsia" w:ascii="新宋体" w:hAnsi="新宋体" w:eastAsia="新宋体" w:cs="新宋体"/>
                <w:color w:val="auto"/>
                <w:sz w:val="22"/>
                <w:szCs w:val="22"/>
                <w:highlight w:val="none"/>
              </w:rPr>
              <w:t>的</w:t>
            </w:r>
            <w:r>
              <w:rPr>
                <w:rFonts w:hint="eastAsia" w:ascii="新宋体" w:hAnsi="新宋体" w:eastAsia="新宋体" w:cs="新宋体"/>
                <w:color w:val="auto"/>
                <w:sz w:val="22"/>
                <w:szCs w:val="22"/>
                <w:highlight w:val="none"/>
                <w:lang w:eastAsia="zh-CN"/>
              </w:rPr>
              <w:t>有效性</w:t>
            </w:r>
            <w:r>
              <w:rPr>
                <w:rFonts w:hint="eastAsia" w:ascii="新宋体" w:hAnsi="新宋体" w:eastAsia="新宋体" w:cs="新宋体"/>
                <w:color w:val="auto"/>
                <w:sz w:val="22"/>
                <w:szCs w:val="22"/>
                <w:highlight w:val="none"/>
              </w:rPr>
              <w:t>、合理性、实用性、先进性，进行</w:t>
            </w:r>
            <w:r>
              <w:rPr>
                <w:rFonts w:hint="eastAsia" w:ascii="新宋体" w:hAnsi="新宋体" w:eastAsia="新宋体" w:cs="新宋体"/>
                <w:color w:val="auto"/>
                <w:sz w:val="22"/>
                <w:szCs w:val="22"/>
                <w:highlight w:val="none"/>
                <w:lang w:val="en-US" w:eastAsia="zh-CN"/>
              </w:rPr>
              <w:t>综合评审</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bCs/>
                <w:color w:val="auto"/>
                <w:sz w:val="22"/>
                <w:szCs w:val="22"/>
                <w:highlight w:val="none"/>
                <w:lang w:val="zh-CN" w:bidi="ar"/>
              </w:rPr>
              <w:t>（评分范围：</w:t>
            </w:r>
            <w:r>
              <w:rPr>
                <w:rFonts w:hint="eastAsia" w:ascii="新宋体" w:hAnsi="新宋体" w:eastAsia="新宋体" w:cs="新宋体"/>
                <w:bCs/>
                <w:color w:val="auto"/>
                <w:sz w:val="22"/>
                <w:szCs w:val="22"/>
                <w:highlight w:val="none"/>
                <w:lang w:val="en-US" w:eastAsia="zh-CN" w:bidi="ar"/>
              </w:rPr>
              <w:t>3、2、1、</w:t>
            </w:r>
            <w:r>
              <w:rPr>
                <w:rFonts w:hint="eastAsia" w:ascii="新宋体" w:hAnsi="新宋体" w:eastAsia="新宋体" w:cs="新宋体"/>
                <w:bCs/>
                <w:color w:val="auto"/>
                <w:sz w:val="22"/>
                <w:szCs w:val="22"/>
                <w:highlight w:val="none"/>
                <w:lang w:bidi="ar"/>
              </w:rPr>
              <w:t>0</w:t>
            </w:r>
            <w:r>
              <w:rPr>
                <w:rFonts w:hint="eastAsia" w:ascii="新宋体" w:hAnsi="新宋体" w:eastAsia="新宋体" w:cs="新宋体"/>
                <w:bCs/>
                <w:color w:val="auto"/>
                <w:sz w:val="22"/>
                <w:szCs w:val="22"/>
                <w:highlight w:val="none"/>
                <w:lang w:val="zh-CN" w:bidi="ar"/>
              </w:rPr>
              <w:t>）</w:t>
            </w:r>
          </w:p>
        </w:tc>
      </w:tr>
      <w:tr w14:paraId="00414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2" w:type="dxa"/>
            <w:noWrap w:val="0"/>
            <w:vAlign w:val="center"/>
          </w:tcPr>
          <w:p w14:paraId="29E54B72">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snapToGrid w:val="0"/>
                <w:color w:val="auto"/>
                <w:kern w:val="0"/>
                <w:sz w:val="22"/>
                <w:szCs w:val="22"/>
                <w:highlight w:val="none"/>
                <w:lang w:val="en-US" w:eastAsia="zh-CN"/>
              </w:rPr>
            </w:pPr>
            <w:r>
              <w:rPr>
                <w:rFonts w:hint="eastAsia" w:ascii="新宋体" w:hAnsi="新宋体" w:eastAsia="新宋体" w:cs="新宋体"/>
                <w:snapToGrid w:val="0"/>
                <w:color w:val="auto"/>
                <w:kern w:val="0"/>
                <w:sz w:val="22"/>
                <w:szCs w:val="22"/>
                <w:highlight w:val="none"/>
                <w:lang w:val="en-US" w:eastAsia="zh-CN"/>
              </w:rPr>
              <w:t>8</w:t>
            </w:r>
          </w:p>
        </w:tc>
        <w:tc>
          <w:tcPr>
            <w:tcW w:w="1365" w:type="dxa"/>
            <w:noWrap w:val="0"/>
            <w:vAlign w:val="center"/>
          </w:tcPr>
          <w:p w14:paraId="6636690D">
            <w:pPr>
              <w:keepNext w:val="0"/>
              <w:keepLines w:val="0"/>
              <w:pageBreakBefore w:val="0"/>
              <w:widowControl/>
              <w:suppressLineNumbers w:val="0"/>
              <w:kinsoku/>
              <w:wordWrap/>
              <w:overflowPunct/>
              <w:topLinePunct w:val="0"/>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val="en-US" w:eastAsia="zh-CN" w:bidi="ar"/>
              </w:rPr>
              <w:t xml:space="preserve">洗衣房设计 </w:t>
            </w:r>
          </w:p>
          <w:p w14:paraId="163A3D3B">
            <w:pPr>
              <w:keepNext w:val="0"/>
              <w:keepLines w:val="0"/>
              <w:pageBreakBefore w:val="0"/>
              <w:widowControl/>
              <w:suppressLineNumbers w:val="0"/>
              <w:kinsoku/>
              <w:wordWrap/>
              <w:overflowPunct/>
              <w:topLinePunct w:val="0"/>
              <w:bidi w:val="0"/>
              <w:spacing w:line="460" w:lineRule="exact"/>
              <w:jc w:val="left"/>
              <w:textAlignment w:val="auto"/>
              <w:rPr>
                <w:rFonts w:hint="eastAsia" w:ascii="新宋体" w:hAnsi="新宋体" w:eastAsia="新宋体" w:cs="新宋体"/>
                <w:snapToGrid w:val="0"/>
                <w:color w:val="auto"/>
                <w:kern w:val="0"/>
                <w:sz w:val="22"/>
                <w:szCs w:val="22"/>
                <w:highlight w:val="none"/>
              </w:rPr>
            </w:pPr>
            <w:r>
              <w:rPr>
                <w:rFonts w:hint="eastAsia" w:ascii="新宋体" w:hAnsi="新宋体" w:eastAsia="新宋体" w:cs="新宋体"/>
                <w:color w:val="auto"/>
                <w:kern w:val="0"/>
                <w:sz w:val="22"/>
                <w:szCs w:val="22"/>
                <w:highlight w:val="none"/>
                <w:lang w:val="en-US" w:eastAsia="zh-CN" w:bidi="ar"/>
              </w:rPr>
              <w:t>布局方案</w:t>
            </w:r>
          </w:p>
        </w:tc>
        <w:tc>
          <w:tcPr>
            <w:tcW w:w="675" w:type="dxa"/>
            <w:noWrap w:val="0"/>
            <w:vAlign w:val="center"/>
          </w:tcPr>
          <w:p w14:paraId="555FD945">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snapToGrid w:val="0"/>
                <w:color w:val="auto"/>
                <w:kern w:val="0"/>
                <w:sz w:val="22"/>
                <w:szCs w:val="22"/>
                <w:highlight w:val="none"/>
                <w:lang w:eastAsia="zh-CN"/>
              </w:rPr>
            </w:pPr>
            <w:r>
              <w:rPr>
                <w:rFonts w:hint="eastAsia" w:ascii="新宋体" w:hAnsi="新宋体" w:eastAsia="新宋体" w:cs="新宋体"/>
                <w:snapToGrid w:val="0"/>
                <w:color w:val="auto"/>
                <w:kern w:val="0"/>
                <w:sz w:val="22"/>
                <w:szCs w:val="22"/>
                <w:highlight w:val="none"/>
                <w:lang w:val="en-US" w:eastAsia="zh-CN"/>
              </w:rPr>
              <w:t>5分</w:t>
            </w:r>
          </w:p>
        </w:tc>
        <w:tc>
          <w:tcPr>
            <w:tcW w:w="7186" w:type="dxa"/>
            <w:noWrap w:val="0"/>
            <w:vAlign w:val="center"/>
          </w:tcPr>
          <w:p w14:paraId="6D4AC9BE">
            <w:pPr>
              <w:keepNext w:val="0"/>
              <w:keepLines w:val="0"/>
              <w:pageBreakBefore w:val="0"/>
              <w:kinsoku/>
              <w:wordWrap/>
              <w:overflowPunct/>
              <w:topLinePunct w:val="0"/>
              <w:bidi w:val="0"/>
              <w:adjustRightInd w:val="0"/>
              <w:snapToGrid w:val="0"/>
              <w:spacing w:line="460" w:lineRule="exact"/>
              <w:ind w:left="0" w:firstLine="0" w:firstLineChars="0"/>
              <w:textAlignment w:val="auto"/>
              <w:rPr>
                <w:rFonts w:hint="eastAsia" w:ascii="新宋体" w:hAnsi="新宋体" w:eastAsia="新宋体" w:cs="新宋体"/>
                <w:snapToGrid w:val="0"/>
                <w:color w:val="auto"/>
                <w:kern w:val="0"/>
                <w:sz w:val="22"/>
                <w:szCs w:val="22"/>
                <w:highlight w:val="none"/>
              </w:rPr>
            </w:pPr>
            <w:r>
              <w:rPr>
                <w:rFonts w:hint="eastAsia" w:ascii="新宋体" w:hAnsi="新宋体" w:eastAsia="新宋体" w:cs="新宋体"/>
                <w:snapToGrid w:val="0"/>
                <w:color w:val="auto"/>
                <w:kern w:val="0"/>
                <w:sz w:val="22"/>
                <w:szCs w:val="22"/>
                <w:highlight w:val="none"/>
              </w:rPr>
              <w:t>根据对有符合感管规范的生产流程和区域划分，感染洗涤和普通洗涤符合隔离要求等</w:t>
            </w:r>
            <w:r>
              <w:rPr>
                <w:rFonts w:hint="eastAsia" w:ascii="新宋体" w:hAnsi="新宋体" w:eastAsia="新宋体" w:cs="新宋体"/>
                <w:color w:val="auto"/>
                <w:sz w:val="22"/>
                <w:szCs w:val="22"/>
                <w:highlight w:val="none"/>
              </w:rPr>
              <w:t>进行</w:t>
            </w:r>
            <w:r>
              <w:rPr>
                <w:rFonts w:hint="eastAsia" w:ascii="新宋体" w:hAnsi="新宋体" w:eastAsia="新宋体" w:cs="新宋体"/>
                <w:color w:val="auto"/>
                <w:sz w:val="22"/>
                <w:szCs w:val="22"/>
                <w:highlight w:val="none"/>
                <w:lang w:val="en-US" w:eastAsia="zh-CN"/>
              </w:rPr>
              <w:t>综合评审</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bCs/>
                <w:color w:val="auto"/>
                <w:sz w:val="22"/>
                <w:szCs w:val="22"/>
                <w:highlight w:val="none"/>
                <w:lang w:val="zh-CN" w:bidi="ar"/>
              </w:rPr>
              <w:t>（评分范围：</w:t>
            </w:r>
            <w:r>
              <w:rPr>
                <w:rFonts w:hint="eastAsia" w:ascii="新宋体" w:hAnsi="新宋体" w:eastAsia="新宋体" w:cs="新宋体"/>
                <w:bCs/>
                <w:color w:val="auto"/>
                <w:sz w:val="22"/>
                <w:szCs w:val="22"/>
                <w:highlight w:val="none"/>
                <w:lang w:val="en-US" w:eastAsia="zh-CN" w:bidi="ar"/>
              </w:rPr>
              <w:t>5、4、3、2、1、</w:t>
            </w:r>
            <w:r>
              <w:rPr>
                <w:rFonts w:hint="eastAsia" w:ascii="新宋体" w:hAnsi="新宋体" w:eastAsia="新宋体" w:cs="新宋体"/>
                <w:bCs/>
                <w:color w:val="auto"/>
                <w:sz w:val="22"/>
                <w:szCs w:val="22"/>
                <w:highlight w:val="none"/>
                <w:lang w:bidi="ar"/>
              </w:rPr>
              <w:t>0</w:t>
            </w:r>
            <w:r>
              <w:rPr>
                <w:rFonts w:hint="eastAsia" w:ascii="新宋体" w:hAnsi="新宋体" w:eastAsia="新宋体" w:cs="新宋体"/>
                <w:bCs/>
                <w:color w:val="auto"/>
                <w:sz w:val="22"/>
                <w:szCs w:val="22"/>
                <w:highlight w:val="none"/>
                <w:lang w:val="zh-CN" w:bidi="ar"/>
              </w:rPr>
              <w:t>）</w:t>
            </w:r>
          </w:p>
        </w:tc>
      </w:tr>
      <w:tr w14:paraId="655F1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2" w:type="dxa"/>
            <w:noWrap w:val="0"/>
            <w:vAlign w:val="center"/>
          </w:tcPr>
          <w:p w14:paraId="6EEA30DF">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snapToGrid w:val="0"/>
                <w:color w:val="auto"/>
                <w:kern w:val="0"/>
                <w:sz w:val="22"/>
                <w:szCs w:val="22"/>
                <w:highlight w:val="none"/>
                <w:lang w:val="en-US" w:eastAsia="zh-CN"/>
              </w:rPr>
            </w:pPr>
            <w:r>
              <w:rPr>
                <w:rFonts w:hint="eastAsia" w:ascii="新宋体" w:hAnsi="新宋体" w:eastAsia="新宋体" w:cs="新宋体"/>
                <w:snapToGrid w:val="0"/>
                <w:color w:val="auto"/>
                <w:kern w:val="0"/>
                <w:sz w:val="22"/>
                <w:szCs w:val="22"/>
                <w:highlight w:val="none"/>
                <w:lang w:val="en-US" w:eastAsia="zh-CN"/>
              </w:rPr>
              <w:t>9</w:t>
            </w:r>
          </w:p>
        </w:tc>
        <w:tc>
          <w:tcPr>
            <w:tcW w:w="1365" w:type="dxa"/>
            <w:noWrap w:val="0"/>
            <w:vAlign w:val="center"/>
          </w:tcPr>
          <w:p w14:paraId="7C189AC1">
            <w:pPr>
              <w:keepNext w:val="0"/>
              <w:keepLines w:val="0"/>
              <w:pageBreakBefore w:val="0"/>
              <w:widowControl/>
              <w:suppressLineNumbers w:val="0"/>
              <w:kinsoku/>
              <w:wordWrap/>
              <w:overflowPunct/>
              <w:topLinePunct w:val="0"/>
              <w:bidi w:val="0"/>
              <w:spacing w:line="460" w:lineRule="exact"/>
              <w:jc w:val="left"/>
              <w:textAlignment w:val="auto"/>
              <w:rPr>
                <w:rFonts w:hint="eastAsia" w:ascii="新宋体" w:hAnsi="新宋体" w:eastAsia="新宋体" w:cs="新宋体"/>
                <w:color w:val="auto"/>
                <w:kern w:val="0"/>
                <w:sz w:val="22"/>
                <w:szCs w:val="22"/>
                <w:highlight w:val="none"/>
                <w:lang w:val="en-US" w:eastAsia="zh-CN" w:bidi="ar"/>
              </w:rPr>
            </w:pPr>
            <w:r>
              <w:rPr>
                <w:rFonts w:hint="eastAsia" w:ascii="新宋体" w:hAnsi="新宋体" w:eastAsia="新宋体" w:cs="新宋体"/>
                <w:color w:val="auto"/>
                <w:sz w:val="22"/>
                <w:szCs w:val="22"/>
                <w:highlight w:val="none"/>
              </w:rPr>
              <w:t>感染性污衣被洗涤方案</w:t>
            </w:r>
          </w:p>
        </w:tc>
        <w:tc>
          <w:tcPr>
            <w:tcW w:w="675" w:type="dxa"/>
            <w:noWrap w:val="0"/>
            <w:vAlign w:val="center"/>
          </w:tcPr>
          <w:p w14:paraId="57CE662D">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snapToGrid w:val="0"/>
                <w:color w:val="auto"/>
                <w:kern w:val="0"/>
                <w:sz w:val="22"/>
                <w:szCs w:val="22"/>
                <w:highlight w:val="none"/>
                <w:lang w:val="en-US" w:eastAsia="zh-CN"/>
              </w:rPr>
            </w:pPr>
            <w:r>
              <w:rPr>
                <w:rFonts w:hint="eastAsia" w:ascii="新宋体" w:hAnsi="新宋体" w:eastAsia="新宋体" w:cs="新宋体"/>
                <w:snapToGrid w:val="0"/>
                <w:color w:val="auto"/>
                <w:kern w:val="0"/>
                <w:sz w:val="22"/>
                <w:szCs w:val="22"/>
                <w:highlight w:val="none"/>
                <w:lang w:val="en-US" w:eastAsia="zh-CN"/>
              </w:rPr>
              <w:t>5分</w:t>
            </w:r>
          </w:p>
        </w:tc>
        <w:tc>
          <w:tcPr>
            <w:tcW w:w="7186" w:type="dxa"/>
            <w:noWrap w:val="0"/>
            <w:vAlign w:val="center"/>
          </w:tcPr>
          <w:p w14:paraId="73F5954D">
            <w:pPr>
              <w:keepNext w:val="0"/>
              <w:keepLines w:val="0"/>
              <w:pageBreakBefore w:val="0"/>
              <w:kinsoku/>
              <w:wordWrap/>
              <w:overflowPunct/>
              <w:topLinePunct w:val="0"/>
              <w:bidi w:val="0"/>
              <w:adjustRightInd w:val="0"/>
              <w:snapToGrid w:val="0"/>
              <w:spacing w:line="460" w:lineRule="exact"/>
              <w:ind w:left="0" w:firstLine="0" w:firstLineChars="0"/>
              <w:textAlignment w:val="auto"/>
              <w:rPr>
                <w:rFonts w:hint="eastAsia" w:ascii="新宋体" w:hAnsi="新宋体" w:eastAsia="新宋体" w:cs="新宋体"/>
                <w:snapToGrid w:val="0"/>
                <w:color w:val="auto"/>
                <w:kern w:val="0"/>
                <w:sz w:val="22"/>
                <w:szCs w:val="22"/>
                <w:highlight w:val="none"/>
              </w:rPr>
            </w:pPr>
            <w:r>
              <w:rPr>
                <w:rFonts w:hint="eastAsia" w:ascii="新宋体" w:hAnsi="新宋体" w:eastAsia="新宋体" w:cs="新宋体"/>
                <w:color w:val="auto"/>
                <w:sz w:val="22"/>
                <w:szCs w:val="22"/>
                <w:highlight w:val="none"/>
              </w:rPr>
              <w:t>根据投标人对感染性污衣被洗涤的方案进行评分，包括专机洗涤方案、洁净度保证措施、烘干消毒方案，确保清洗后洁净、微生物达标的整体方案措施。</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zh-CN"/>
              </w:rPr>
              <w:t>评分范围：</w:t>
            </w:r>
            <w:r>
              <w:rPr>
                <w:rFonts w:hint="eastAsia" w:ascii="新宋体" w:hAnsi="新宋体" w:eastAsia="新宋体" w:cs="新宋体"/>
                <w:color w:val="auto"/>
                <w:sz w:val="22"/>
                <w:szCs w:val="22"/>
                <w:highlight w:val="none"/>
                <w:lang w:val="en-US" w:eastAsia="zh-CN"/>
              </w:rPr>
              <w:t>5、4、3、2、1、0分</w:t>
            </w:r>
            <w:r>
              <w:rPr>
                <w:rFonts w:hint="eastAsia" w:ascii="新宋体" w:hAnsi="新宋体" w:eastAsia="新宋体" w:cs="新宋体"/>
                <w:color w:val="auto"/>
                <w:sz w:val="22"/>
                <w:szCs w:val="22"/>
                <w:highlight w:val="none"/>
                <w:lang w:eastAsia="zh-CN"/>
              </w:rPr>
              <w:t>）</w:t>
            </w:r>
          </w:p>
        </w:tc>
      </w:tr>
      <w:tr w14:paraId="6A51C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692" w:type="dxa"/>
            <w:vMerge w:val="restart"/>
            <w:noWrap w:val="0"/>
            <w:vAlign w:val="center"/>
          </w:tcPr>
          <w:p w14:paraId="12007D61">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snapToGrid w:val="0"/>
                <w:color w:val="auto"/>
                <w:kern w:val="0"/>
                <w:sz w:val="22"/>
                <w:szCs w:val="22"/>
                <w:highlight w:val="none"/>
                <w:lang w:val="en-US" w:eastAsia="zh-CN"/>
              </w:rPr>
            </w:pPr>
            <w:r>
              <w:rPr>
                <w:rFonts w:hint="eastAsia" w:ascii="新宋体" w:hAnsi="新宋体" w:eastAsia="新宋体" w:cs="新宋体"/>
                <w:snapToGrid w:val="0"/>
                <w:color w:val="auto"/>
                <w:kern w:val="0"/>
                <w:sz w:val="22"/>
                <w:szCs w:val="22"/>
                <w:highlight w:val="none"/>
                <w:lang w:val="en-US" w:eastAsia="zh-CN"/>
              </w:rPr>
              <w:t>10</w:t>
            </w:r>
          </w:p>
        </w:tc>
        <w:tc>
          <w:tcPr>
            <w:tcW w:w="1365" w:type="dxa"/>
            <w:vMerge w:val="restart"/>
            <w:noWrap w:val="0"/>
            <w:vAlign w:val="center"/>
          </w:tcPr>
          <w:p w14:paraId="1044AE24">
            <w:pPr>
              <w:keepNext w:val="0"/>
              <w:keepLines w:val="0"/>
              <w:pageBreakBefore w:val="0"/>
              <w:widowControl/>
              <w:suppressLineNumbers w:val="0"/>
              <w:kinsoku/>
              <w:wordWrap/>
              <w:overflowPunct/>
              <w:topLinePunct w:val="0"/>
              <w:bidi w:val="0"/>
              <w:spacing w:line="460" w:lineRule="exact"/>
              <w:jc w:val="left"/>
              <w:textAlignment w:val="auto"/>
              <w:rPr>
                <w:rFonts w:hint="eastAsia" w:ascii="新宋体" w:hAnsi="新宋体" w:eastAsia="新宋体" w:cs="新宋体"/>
                <w:color w:val="auto"/>
                <w:kern w:val="0"/>
                <w:sz w:val="22"/>
                <w:szCs w:val="22"/>
                <w:highlight w:val="none"/>
                <w:lang w:val="en-US" w:eastAsia="zh-CN" w:bidi="ar"/>
              </w:rPr>
            </w:pPr>
            <w:r>
              <w:rPr>
                <w:rFonts w:hint="eastAsia" w:ascii="新宋体" w:hAnsi="新宋体" w:eastAsia="新宋体" w:cs="新宋体"/>
                <w:color w:val="auto"/>
                <w:kern w:val="0"/>
                <w:sz w:val="22"/>
                <w:szCs w:val="22"/>
                <w:highlight w:val="none"/>
                <w:lang w:val="en-US" w:eastAsia="zh-CN" w:bidi="ar"/>
              </w:rPr>
              <w:t>洗涤工艺及质量保障措施</w:t>
            </w:r>
          </w:p>
        </w:tc>
        <w:tc>
          <w:tcPr>
            <w:tcW w:w="675" w:type="dxa"/>
            <w:noWrap w:val="0"/>
            <w:vAlign w:val="center"/>
          </w:tcPr>
          <w:p w14:paraId="07A3B234">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snapToGrid w:val="0"/>
                <w:color w:val="auto"/>
                <w:kern w:val="0"/>
                <w:sz w:val="22"/>
                <w:szCs w:val="22"/>
                <w:highlight w:val="none"/>
                <w:lang w:val="en-US" w:eastAsia="zh-CN"/>
              </w:rPr>
            </w:pPr>
            <w:r>
              <w:rPr>
                <w:rFonts w:hint="eastAsia" w:ascii="新宋体" w:hAnsi="新宋体" w:eastAsia="新宋体" w:cs="新宋体"/>
                <w:snapToGrid w:val="0"/>
                <w:color w:val="auto"/>
                <w:kern w:val="0"/>
                <w:sz w:val="22"/>
                <w:szCs w:val="22"/>
                <w:highlight w:val="none"/>
                <w:lang w:val="en-US" w:eastAsia="zh-CN"/>
              </w:rPr>
              <w:t>3分</w:t>
            </w:r>
          </w:p>
        </w:tc>
        <w:tc>
          <w:tcPr>
            <w:tcW w:w="7186" w:type="dxa"/>
            <w:noWrap w:val="0"/>
            <w:vAlign w:val="center"/>
          </w:tcPr>
          <w:p w14:paraId="48A42E2A">
            <w:pPr>
              <w:keepNext w:val="0"/>
              <w:keepLines w:val="0"/>
              <w:pageBreakBefore w:val="0"/>
              <w:kinsoku/>
              <w:wordWrap/>
              <w:overflowPunct/>
              <w:topLinePunct w:val="0"/>
              <w:bidi w:val="0"/>
              <w:spacing w:line="460" w:lineRule="exact"/>
              <w:textAlignment w:val="auto"/>
              <w:rPr>
                <w:rFonts w:hint="eastAsia" w:ascii="新宋体" w:hAnsi="新宋体" w:eastAsia="新宋体" w:cs="新宋体"/>
                <w:snapToGrid w:val="0"/>
                <w:color w:val="auto"/>
                <w:kern w:val="0"/>
                <w:sz w:val="22"/>
                <w:szCs w:val="22"/>
                <w:highlight w:val="none"/>
              </w:rPr>
            </w:pPr>
            <w:r>
              <w:rPr>
                <w:rFonts w:hint="eastAsia" w:ascii="新宋体" w:hAnsi="新宋体" w:eastAsia="新宋体" w:cs="新宋体"/>
                <w:color w:val="auto"/>
                <w:sz w:val="22"/>
                <w:szCs w:val="22"/>
                <w:highlight w:val="none"/>
              </w:rPr>
              <w:t>根据投标人对洗涤工艺管控进行</w:t>
            </w:r>
            <w:r>
              <w:rPr>
                <w:rFonts w:hint="eastAsia" w:ascii="新宋体" w:hAnsi="新宋体" w:eastAsia="新宋体" w:cs="新宋体"/>
                <w:color w:val="auto"/>
                <w:sz w:val="22"/>
                <w:szCs w:val="22"/>
                <w:highlight w:val="none"/>
                <w:lang w:val="en-US" w:eastAsia="zh-CN"/>
              </w:rPr>
              <w:t>综合评审</w:t>
            </w:r>
            <w:r>
              <w:rPr>
                <w:rFonts w:hint="eastAsia" w:ascii="新宋体" w:hAnsi="新宋体" w:eastAsia="新宋体" w:cs="新宋体"/>
                <w:color w:val="auto"/>
                <w:sz w:val="22"/>
                <w:szCs w:val="22"/>
                <w:highlight w:val="none"/>
              </w:rPr>
              <w:t>：包括被服洗涤工艺、技术水平保障措施；</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zh-CN"/>
              </w:rPr>
              <w:t>评分范围：</w:t>
            </w:r>
            <w:r>
              <w:rPr>
                <w:rFonts w:hint="eastAsia" w:ascii="新宋体" w:hAnsi="新宋体" w:eastAsia="新宋体" w:cs="新宋体"/>
                <w:color w:val="auto"/>
                <w:sz w:val="22"/>
                <w:szCs w:val="22"/>
                <w:highlight w:val="none"/>
                <w:lang w:val="en-US" w:eastAsia="zh-CN"/>
              </w:rPr>
              <w:t>3、2、1、0分）</w:t>
            </w:r>
          </w:p>
        </w:tc>
      </w:tr>
      <w:tr w14:paraId="6BA50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692" w:type="dxa"/>
            <w:vMerge w:val="continue"/>
            <w:noWrap w:val="0"/>
            <w:vAlign w:val="center"/>
          </w:tcPr>
          <w:p w14:paraId="530CEFCA">
            <w:pPr>
              <w:keepNext w:val="0"/>
              <w:keepLines w:val="0"/>
              <w:pageBreakBefore w:val="0"/>
              <w:kinsoku/>
              <w:wordWrap/>
              <w:overflowPunct/>
              <w:topLinePunct w:val="0"/>
              <w:bidi w:val="0"/>
              <w:adjustRightInd w:val="0"/>
              <w:snapToGrid w:val="0"/>
              <w:spacing w:line="460" w:lineRule="exact"/>
              <w:ind w:left="0" w:firstLine="0" w:firstLineChars="0"/>
              <w:textAlignment w:val="auto"/>
              <w:rPr>
                <w:rFonts w:hint="eastAsia" w:ascii="新宋体" w:hAnsi="新宋体" w:eastAsia="新宋体" w:cs="新宋体"/>
                <w:color w:val="auto"/>
                <w:sz w:val="22"/>
                <w:szCs w:val="22"/>
                <w:highlight w:val="none"/>
              </w:rPr>
            </w:pPr>
          </w:p>
        </w:tc>
        <w:tc>
          <w:tcPr>
            <w:tcW w:w="1365" w:type="dxa"/>
            <w:vMerge w:val="continue"/>
            <w:noWrap w:val="0"/>
            <w:vAlign w:val="center"/>
          </w:tcPr>
          <w:p w14:paraId="77E76C5C">
            <w:pPr>
              <w:keepNext w:val="0"/>
              <w:keepLines w:val="0"/>
              <w:pageBreakBefore w:val="0"/>
              <w:kinsoku/>
              <w:wordWrap/>
              <w:overflowPunct/>
              <w:topLinePunct w:val="0"/>
              <w:bidi w:val="0"/>
              <w:adjustRightInd w:val="0"/>
              <w:snapToGrid w:val="0"/>
              <w:spacing w:line="460" w:lineRule="exact"/>
              <w:ind w:left="0" w:firstLine="0" w:firstLineChars="0"/>
              <w:textAlignment w:val="auto"/>
              <w:rPr>
                <w:rFonts w:hint="eastAsia" w:ascii="新宋体" w:hAnsi="新宋体" w:eastAsia="新宋体" w:cs="新宋体"/>
                <w:color w:val="auto"/>
                <w:sz w:val="22"/>
                <w:szCs w:val="22"/>
                <w:highlight w:val="none"/>
              </w:rPr>
            </w:pPr>
          </w:p>
        </w:tc>
        <w:tc>
          <w:tcPr>
            <w:tcW w:w="675" w:type="dxa"/>
            <w:noWrap w:val="0"/>
            <w:vAlign w:val="center"/>
          </w:tcPr>
          <w:p w14:paraId="6A3EF57F">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snapToGrid w:val="0"/>
                <w:color w:val="auto"/>
                <w:kern w:val="0"/>
                <w:sz w:val="22"/>
                <w:szCs w:val="22"/>
                <w:highlight w:val="none"/>
                <w:lang w:val="en-US" w:eastAsia="zh-CN"/>
              </w:rPr>
            </w:pPr>
            <w:r>
              <w:rPr>
                <w:rFonts w:hint="eastAsia" w:ascii="新宋体" w:hAnsi="新宋体" w:eastAsia="新宋体" w:cs="新宋体"/>
                <w:snapToGrid w:val="0"/>
                <w:color w:val="auto"/>
                <w:kern w:val="0"/>
                <w:sz w:val="22"/>
                <w:szCs w:val="22"/>
                <w:highlight w:val="none"/>
                <w:lang w:val="en-US" w:eastAsia="zh-CN"/>
              </w:rPr>
              <w:t>3分</w:t>
            </w:r>
          </w:p>
        </w:tc>
        <w:tc>
          <w:tcPr>
            <w:tcW w:w="7186" w:type="dxa"/>
            <w:noWrap w:val="0"/>
            <w:vAlign w:val="center"/>
          </w:tcPr>
          <w:p w14:paraId="353E80BE">
            <w:pPr>
              <w:keepNext w:val="0"/>
              <w:keepLines w:val="0"/>
              <w:pageBreakBefore w:val="0"/>
              <w:kinsoku/>
              <w:wordWrap/>
              <w:overflowPunct/>
              <w:topLinePunct w:val="0"/>
              <w:bidi w:val="0"/>
              <w:adjustRightInd w:val="0"/>
              <w:snapToGrid w:val="0"/>
              <w:spacing w:line="460" w:lineRule="exact"/>
              <w:ind w:left="0" w:firstLine="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根据投标人对洗涤质量的保障措施进行</w:t>
            </w:r>
            <w:r>
              <w:rPr>
                <w:rFonts w:hint="eastAsia" w:ascii="新宋体" w:hAnsi="新宋体" w:eastAsia="新宋体" w:cs="新宋体"/>
                <w:color w:val="auto"/>
                <w:sz w:val="22"/>
                <w:szCs w:val="22"/>
                <w:highlight w:val="none"/>
                <w:lang w:val="en-US" w:eastAsia="zh-CN"/>
              </w:rPr>
              <w:t>综合评审</w:t>
            </w:r>
            <w:r>
              <w:rPr>
                <w:rFonts w:hint="eastAsia" w:ascii="新宋体" w:hAnsi="新宋体" w:eastAsia="新宋体" w:cs="新宋体"/>
                <w:color w:val="auto"/>
                <w:sz w:val="22"/>
                <w:szCs w:val="22"/>
                <w:highlight w:val="none"/>
              </w:rPr>
              <w:t>：具有健全的洗涤流水线以及自检体系，确保洗涤过程中的质量控制完善；</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zh-CN"/>
              </w:rPr>
              <w:t>评分范围：</w:t>
            </w:r>
            <w:r>
              <w:rPr>
                <w:rFonts w:hint="eastAsia" w:ascii="新宋体" w:hAnsi="新宋体" w:eastAsia="新宋体" w:cs="新宋体"/>
                <w:color w:val="auto"/>
                <w:sz w:val="22"/>
                <w:szCs w:val="22"/>
                <w:highlight w:val="none"/>
                <w:lang w:val="en-US" w:eastAsia="zh-CN"/>
              </w:rPr>
              <w:t>3、2、1、0分）</w:t>
            </w:r>
          </w:p>
        </w:tc>
      </w:tr>
      <w:tr w14:paraId="51E44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692" w:type="dxa"/>
            <w:shd w:val="clear" w:color="auto" w:fill="auto"/>
            <w:noWrap w:val="0"/>
            <w:vAlign w:val="center"/>
          </w:tcPr>
          <w:p w14:paraId="67D34C22">
            <w:pPr>
              <w:keepNext w:val="0"/>
              <w:keepLines w:val="0"/>
              <w:pageBreakBefore w:val="0"/>
              <w:kinsoku/>
              <w:wordWrap/>
              <w:overflowPunct/>
              <w:topLinePunct w:val="0"/>
              <w:bidi w:val="0"/>
              <w:adjustRightInd w:val="0"/>
              <w:snapToGrid w:val="0"/>
              <w:spacing w:line="460" w:lineRule="exact"/>
              <w:ind w:left="0" w:leftChars="0" w:firstLine="0" w:firstLineChars="0"/>
              <w:jc w:val="center"/>
              <w:textAlignment w:val="auto"/>
              <w:rPr>
                <w:rFonts w:hint="eastAsia" w:ascii="新宋体" w:hAnsi="新宋体" w:eastAsia="新宋体" w:cs="新宋体"/>
                <w:snapToGrid w:val="0"/>
                <w:color w:val="auto"/>
                <w:kern w:val="0"/>
                <w:sz w:val="22"/>
                <w:szCs w:val="22"/>
                <w:highlight w:val="none"/>
                <w:lang w:val="en-US" w:eastAsia="zh-CN" w:bidi="ar-SA"/>
              </w:rPr>
            </w:pPr>
            <w:r>
              <w:rPr>
                <w:rFonts w:hint="eastAsia" w:ascii="新宋体" w:hAnsi="新宋体" w:eastAsia="新宋体" w:cs="新宋体"/>
                <w:snapToGrid w:val="0"/>
                <w:color w:val="auto"/>
                <w:kern w:val="0"/>
                <w:sz w:val="22"/>
                <w:szCs w:val="22"/>
                <w:highlight w:val="none"/>
                <w:lang w:val="en-US" w:eastAsia="zh-CN"/>
              </w:rPr>
              <w:t>11</w:t>
            </w:r>
          </w:p>
        </w:tc>
        <w:tc>
          <w:tcPr>
            <w:tcW w:w="1365" w:type="dxa"/>
            <w:shd w:val="clear" w:color="auto" w:fill="auto"/>
            <w:noWrap w:val="0"/>
            <w:vAlign w:val="center"/>
          </w:tcPr>
          <w:p w14:paraId="6AD7655A">
            <w:pPr>
              <w:keepNext w:val="0"/>
              <w:keepLines w:val="0"/>
              <w:pageBreakBefore w:val="0"/>
              <w:kinsoku/>
              <w:wordWrap/>
              <w:overflowPunct/>
              <w:topLinePunct w:val="0"/>
              <w:bidi w:val="0"/>
              <w:adjustRightInd w:val="0"/>
              <w:snapToGrid w:val="0"/>
              <w:spacing w:line="460" w:lineRule="exact"/>
              <w:ind w:left="0" w:leftChars="0" w:firstLine="0" w:firstLineChars="0"/>
              <w:jc w:val="left"/>
              <w:textAlignment w:val="auto"/>
              <w:rPr>
                <w:rFonts w:hint="eastAsia" w:ascii="新宋体" w:hAnsi="新宋体" w:eastAsia="新宋体" w:cs="新宋体"/>
                <w:snapToGrid w:val="0"/>
                <w:color w:val="auto"/>
                <w:kern w:val="0"/>
                <w:sz w:val="22"/>
                <w:szCs w:val="22"/>
                <w:highlight w:val="none"/>
                <w:lang w:val="en-US" w:eastAsia="zh-CN" w:bidi="ar-SA"/>
              </w:rPr>
            </w:pPr>
            <w:r>
              <w:rPr>
                <w:rFonts w:hint="eastAsia" w:ascii="新宋体" w:hAnsi="新宋体" w:eastAsia="新宋体" w:cs="新宋体"/>
                <w:snapToGrid w:val="0"/>
                <w:color w:val="auto"/>
                <w:kern w:val="0"/>
                <w:sz w:val="22"/>
                <w:szCs w:val="22"/>
                <w:highlight w:val="none"/>
              </w:rPr>
              <w:t>感管和区域划分</w:t>
            </w:r>
          </w:p>
        </w:tc>
        <w:tc>
          <w:tcPr>
            <w:tcW w:w="675" w:type="dxa"/>
            <w:shd w:val="clear" w:color="auto" w:fill="auto"/>
            <w:noWrap w:val="0"/>
            <w:vAlign w:val="center"/>
          </w:tcPr>
          <w:p w14:paraId="05904CD9">
            <w:pPr>
              <w:pStyle w:val="23"/>
              <w:keepNext w:val="0"/>
              <w:keepLines w:val="0"/>
              <w:pageBreakBefore w:val="0"/>
              <w:kinsoku/>
              <w:wordWrap/>
              <w:overflowPunct/>
              <w:topLinePunct w:val="0"/>
              <w:bidi w:val="0"/>
              <w:adjustRightInd w:val="0"/>
              <w:snapToGrid w:val="0"/>
              <w:spacing w:after="0" w:line="460" w:lineRule="exact"/>
              <w:ind w:left="0" w:leftChars="0" w:firstLine="0" w:firstLineChars="0"/>
              <w:jc w:val="center"/>
              <w:textAlignment w:val="auto"/>
              <w:rPr>
                <w:rFonts w:hint="eastAsia" w:ascii="新宋体" w:hAnsi="新宋体" w:eastAsia="新宋体" w:cs="新宋体"/>
                <w:snapToGrid w:val="0"/>
                <w:color w:val="auto"/>
                <w:kern w:val="0"/>
                <w:sz w:val="22"/>
                <w:szCs w:val="22"/>
                <w:highlight w:val="none"/>
                <w:lang w:val="en-US" w:eastAsia="zh-CN" w:bidi="ar-SA"/>
              </w:rPr>
            </w:pPr>
            <w:r>
              <w:rPr>
                <w:rFonts w:hint="eastAsia" w:ascii="新宋体" w:hAnsi="新宋体" w:eastAsia="新宋体" w:cs="新宋体"/>
                <w:snapToGrid w:val="0"/>
                <w:color w:val="auto"/>
                <w:kern w:val="0"/>
                <w:sz w:val="22"/>
                <w:szCs w:val="22"/>
                <w:highlight w:val="none"/>
                <w:lang w:val="en-US" w:eastAsia="zh-CN"/>
              </w:rPr>
              <w:t>3分</w:t>
            </w:r>
          </w:p>
        </w:tc>
        <w:tc>
          <w:tcPr>
            <w:tcW w:w="7186" w:type="dxa"/>
            <w:shd w:val="clear" w:color="auto" w:fill="auto"/>
            <w:noWrap w:val="0"/>
            <w:vAlign w:val="center"/>
          </w:tcPr>
          <w:p w14:paraId="7AAA5B4A">
            <w:pPr>
              <w:keepNext w:val="0"/>
              <w:keepLines w:val="0"/>
              <w:pageBreakBefore w:val="0"/>
              <w:kinsoku/>
              <w:wordWrap/>
              <w:overflowPunct/>
              <w:topLinePunct w:val="0"/>
              <w:bidi w:val="0"/>
              <w:adjustRightInd w:val="0"/>
              <w:snapToGrid w:val="0"/>
              <w:spacing w:line="460" w:lineRule="exact"/>
              <w:textAlignment w:val="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snapToGrid w:val="0"/>
                <w:color w:val="auto"/>
                <w:kern w:val="0"/>
                <w:sz w:val="22"/>
                <w:szCs w:val="22"/>
                <w:highlight w:val="none"/>
              </w:rPr>
              <w:t>根据对有符合感管规范的生产流程和区域划分，感染洗涤和普通洗涤符合隔离要求等进行</w:t>
            </w:r>
            <w:r>
              <w:rPr>
                <w:rFonts w:hint="eastAsia" w:ascii="新宋体" w:hAnsi="新宋体" w:eastAsia="新宋体" w:cs="新宋体"/>
                <w:snapToGrid w:val="0"/>
                <w:color w:val="auto"/>
                <w:kern w:val="0"/>
                <w:sz w:val="22"/>
                <w:szCs w:val="22"/>
                <w:highlight w:val="none"/>
                <w:lang w:val="en-US" w:eastAsia="zh-CN"/>
              </w:rPr>
              <w:t>综合评审</w:t>
            </w:r>
            <w:r>
              <w:rPr>
                <w:rFonts w:hint="eastAsia" w:ascii="新宋体" w:hAnsi="新宋体" w:eastAsia="新宋体" w:cs="新宋体"/>
                <w:snapToGrid w:val="0"/>
                <w:color w:val="auto"/>
                <w:kern w:val="0"/>
                <w:sz w:val="22"/>
                <w:szCs w:val="22"/>
                <w:highlight w:val="none"/>
              </w:rPr>
              <w:t>。</w:t>
            </w:r>
            <w:r>
              <w:rPr>
                <w:rFonts w:hint="eastAsia" w:ascii="新宋体" w:hAnsi="新宋体" w:eastAsia="新宋体" w:cs="新宋体"/>
                <w:bCs/>
                <w:color w:val="auto"/>
                <w:sz w:val="22"/>
                <w:szCs w:val="22"/>
                <w:highlight w:val="none"/>
                <w:lang w:val="zh-CN" w:bidi="ar"/>
              </w:rPr>
              <w:t>（评分范围：</w:t>
            </w:r>
            <w:r>
              <w:rPr>
                <w:rFonts w:hint="eastAsia" w:ascii="新宋体" w:hAnsi="新宋体" w:eastAsia="新宋体" w:cs="新宋体"/>
                <w:bCs/>
                <w:color w:val="auto"/>
                <w:sz w:val="22"/>
                <w:szCs w:val="22"/>
                <w:highlight w:val="none"/>
                <w:lang w:val="en-US" w:eastAsia="zh-CN" w:bidi="ar"/>
              </w:rPr>
              <w:t>3、2、1、</w:t>
            </w:r>
            <w:r>
              <w:rPr>
                <w:rFonts w:hint="eastAsia" w:ascii="新宋体" w:hAnsi="新宋体" w:eastAsia="新宋体" w:cs="新宋体"/>
                <w:bCs/>
                <w:color w:val="auto"/>
                <w:sz w:val="22"/>
                <w:szCs w:val="22"/>
                <w:highlight w:val="none"/>
                <w:lang w:bidi="ar"/>
              </w:rPr>
              <w:t>0</w:t>
            </w:r>
            <w:r>
              <w:rPr>
                <w:rFonts w:hint="eastAsia" w:ascii="新宋体" w:hAnsi="新宋体" w:eastAsia="新宋体" w:cs="新宋体"/>
                <w:bCs/>
                <w:color w:val="auto"/>
                <w:sz w:val="22"/>
                <w:szCs w:val="22"/>
                <w:highlight w:val="none"/>
                <w:lang w:val="zh-CN" w:bidi="ar"/>
              </w:rPr>
              <w:t>）</w:t>
            </w:r>
          </w:p>
        </w:tc>
      </w:tr>
      <w:tr w14:paraId="3CB0F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2" w:type="dxa"/>
            <w:noWrap w:val="0"/>
            <w:vAlign w:val="center"/>
          </w:tcPr>
          <w:p w14:paraId="2D8F93A5">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default" w:ascii="新宋体" w:hAnsi="新宋体" w:eastAsia="新宋体" w:cs="新宋体"/>
                <w:snapToGrid w:val="0"/>
                <w:color w:val="auto"/>
                <w:kern w:val="0"/>
                <w:sz w:val="22"/>
                <w:szCs w:val="22"/>
                <w:highlight w:val="none"/>
                <w:lang w:val="en-US" w:eastAsia="zh-CN"/>
              </w:rPr>
            </w:pPr>
            <w:r>
              <w:rPr>
                <w:rFonts w:hint="eastAsia" w:ascii="新宋体" w:hAnsi="新宋体" w:eastAsia="新宋体" w:cs="新宋体"/>
                <w:snapToGrid w:val="0"/>
                <w:color w:val="auto"/>
                <w:kern w:val="0"/>
                <w:sz w:val="22"/>
                <w:szCs w:val="22"/>
                <w:highlight w:val="none"/>
                <w:lang w:val="en-US" w:eastAsia="zh-CN"/>
              </w:rPr>
              <w:t>12</w:t>
            </w:r>
          </w:p>
        </w:tc>
        <w:tc>
          <w:tcPr>
            <w:tcW w:w="1365" w:type="dxa"/>
            <w:noWrap w:val="0"/>
            <w:vAlign w:val="center"/>
          </w:tcPr>
          <w:p w14:paraId="7BCC37EA">
            <w:pPr>
              <w:keepNext w:val="0"/>
              <w:keepLines w:val="0"/>
              <w:pageBreakBefore w:val="0"/>
              <w:kinsoku/>
              <w:wordWrap/>
              <w:overflowPunct/>
              <w:topLinePunct w:val="0"/>
              <w:bidi w:val="0"/>
              <w:adjustRightInd w:val="0"/>
              <w:snapToGrid w:val="0"/>
              <w:spacing w:line="460" w:lineRule="exact"/>
              <w:ind w:left="0" w:firstLine="0" w:firstLineChars="0"/>
              <w:jc w:val="left"/>
              <w:textAlignment w:val="auto"/>
              <w:rPr>
                <w:rFonts w:hint="default" w:ascii="新宋体" w:hAnsi="新宋体" w:eastAsia="新宋体" w:cs="新宋体"/>
                <w:snapToGrid w:val="0"/>
                <w:color w:val="auto"/>
                <w:kern w:val="0"/>
                <w:sz w:val="22"/>
                <w:szCs w:val="22"/>
                <w:highlight w:val="none"/>
                <w:lang w:val="en-US" w:eastAsia="zh-CN"/>
              </w:rPr>
            </w:pPr>
            <w:r>
              <w:rPr>
                <w:rFonts w:hint="eastAsia" w:ascii="新宋体" w:hAnsi="新宋体" w:eastAsia="新宋体" w:cs="新宋体"/>
                <w:snapToGrid w:val="0"/>
                <w:color w:val="auto"/>
                <w:kern w:val="0"/>
                <w:sz w:val="22"/>
                <w:szCs w:val="22"/>
                <w:highlight w:val="none"/>
                <w:lang w:val="en-US" w:eastAsia="zh-CN"/>
              </w:rPr>
              <w:t>拟派人员</w:t>
            </w:r>
          </w:p>
        </w:tc>
        <w:tc>
          <w:tcPr>
            <w:tcW w:w="675" w:type="dxa"/>
            <w:noWrap w:val="0"/>
            <w:vAlign w:val="center"/>
          </w:tcPr>
          <w:p w14:paraId="6050DEFB">
            <w:pPr>
              <w:pStyle w:val="23"/>
              <w:keepNext w:val="0"/>
              <w:keepLines w:val="0"/>
              <w:pageBreakBefore w:val="0"/>
              <w:kinsoku/>
              <w:wordWrap/>
              <w:overflowPunct/>
              <w:topLinePunct w:val="0"/>
              <w:bidi w:val="0"/>
              <w:adjustRightInd w:val="0"/>
              <w:snapToGrid w:val="0"/>
              <w:spacing w:after="0" w:line="460" w:lineRule="exact"/>
              <w:ind w:left="0" w:leftChars="0" w:firstLine="0" w:firstLineChars="0"/>
              <w:jc w:val="center"/>
              <w:textAlignment w:val="auto"/>
              <w:rPr>
                <w:rFonts w:hint="default" w:ascii="新宋体" w:hAnsi="新宋体" w:eastAsia="新宋体" w:cs="新宋体"/>
                <w:snapToGrid w:val="0"/>
                <w:color w:val="auto"/>
                <w:kern w:val="0"/>
                <w:sz w:val="22"/>
                <w:szCs w:val="22"/>
                <w:highlight w:val="none"/>
                <w:lang w:val="en-US" w:eastAsia="zh-CN"/>
              </w:rPr>
            </w:pPr>
            <w:r>
              <w:rPr>
                <w:rFonts w:hint="eastAsia" w:ascii="新宋体" w:hAnsi="新宋体" w:eastAsia="新宋体" w:cs="新宋体"/>
                <w:snapToGrid w:val="0"/>
                <w:color w:val="auto"/>
                <w:kern w:val="0"/>
                <w:sz w:val="22"/>
                <w:szCs w:val="22"/>
                <w:highlight w:val="none"/>
                <w:lang w:val="en-US" w:eastAsia="zh-CN"/>
              </w:rPr>
              <w:t>2分</w:t>
            </w:r>
          </w:p>
        </w:tc>
        <w:tc>
          <w:tcPr>
            <w:tcW w:w="7186" w:type="dxa"/>
            <w:noWrap w:val="0"/>
            <w:vAlign w:val="center"/>
          </w:tcPr>
          <w:p w14:paraId="26770A45">
            <w:pPr>
              <w:keepNext w:val="0"/>
              <w:keepLines w:val="0"/>
              <w:pageBreakBefore w:val="0"/>
              <w:kinsoku/>
              <w:wordWrap/>
              <w:overflowPunct/>
              <w:topLinePunct w:val="0"/>
              <w:bidi w:val="0"/>
              <w:adjustRightInd w:val="0"/>
              <w:snapToGrid w:val="0"/>
              <w:spacing w:line="460" w:lineRule="exact"/>
              <w:textAlignment w:val="auto"/>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根据投标人拟派2名及以上</w:t>
            </w:r>
            <w:r>
              <w:rPr>
                <w:rFonts w:hint="eastAsia" w:ascii="新宋体" w:hAnsi="新宋体" w:eastAsia="新宋体" w:cs="新宋体"/>
                <w:snapToGrid w:val="0"/>
                <w:color w:val="auto"/>
                <w:kern w:val="0"/>
                <w:sz w:val="22"/>
                <w:szCs w:val="22"/>
                <w:highlight w:val="none"/>
                <w:lang w:eastAsia="zh-CN"/>
              </w:rPr>
              <w:t>医用洗涤品的分发、收集和管理</w:t>
            </w:r>
            <w:r>
              <w:rPr>
                <w:rFonts w:hint="eastAsia" w:ascii="新宋体" w:hAnsi="新宋体" w:eastAsia="新宋体" w:cs="新宋体"/>
                <w:snapToGrid w:val="0"/>
                <w:color w:val="auto"/>
                <w:kern w:val="0"/>
                <w:sz w:val="22"/>
                <w:szCs w:val="22"/>
                <w:highlight w:val="none"/>
                <w:lang w:val="en-US" w:eastAsia="zh-CN"/>
              </w:rPr>
              <w:t>人员的工作经验，服务标准，时间等综合评分（评分范围：2、1、0）</w:t>
            </w:r>
          </w:p>
        </w:tc>
      </w:tr>
      <w:tr w14:paraId="517C3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692" w:type="dxa"/>
            <w:vMerge w:val="restart"/>
            <w:noWrap w:val="0"/>
            <w:vAlign w:val="center"/>
          </w:tcPr>
          <w:p w14:paraId="01AA5CB4">
            <w:pPr>
              <w:keepNext w:val="0"/>
              <w:keepLines w:val="0"/>
              <w:pageBreakBefore w:val="0"/>
              <w:kinsoku/>
              <w:wordWrap/>
              <w:overflowPunct/>
              <w:topLinePunct w:val="0"/>
              <w:bidi w:val="0"/>
              <w:adjustRightInd w:val="0"/>
              <w:snapToGrid w:val="0"/>
              <w:spacing w:line="460" w:lineRule="exact"/>
              <w:ind w:left="0" w:leftChars="0" w:firstLine="0" w:firstLineChars="0"/>
              <w:jc w:val="center"/>
              <w:textAlignment w:val="auto"/>
              <w:rPr>
                <w:rFonts w:hint="eastAsia" w:ascii="新宋体" w:hAnsi="新宋体" w:eastAsia="新宋体" w:cs="新宋体"/>
                <w:snapToGrid w:val="0"/>
                <w:color w:val="auto"/>
                <w:kern w:val="0"/>
                <w:sz w:val="22"/>
                <w:szCs w:val="22"/>
                <w:highlight w:val="none"/>
                <w:lang w:eastAsia="zh-CN"/>
              </w:rPr>
            </w:pPr>
            <w:r>
              <w:rPr>
                <w:rFonts w:hint="eastAsia" w:ascii="新宋体" w:hAnsi="新宋体" w:eastAsia="新宋体" w:cs="新宋体"/>
                <w:snapToGrid w:val="0"/>
                <w:color w:val="auto"/>
                <w:kern w:val="0"/>
                <w:sz w:val="22"/>
                <w:szCs w:val="22"/>
                <w:highlight w:val="none"/>
                <w:lang w:val="en-US" w:eastAsia="zh-CN"/>
              </w:rPr>
              <w:t>13</w:t>
            </w:r>
          </w:p>
        </w:tc>
        <w:tc>
          <w:tcPr>
            <w:tcW w:w="1365" w:type="dxa"/>
            <w:vMerge w:val="restart"/>
            <w:noWrap w:val="0"/>
            <w:vAlign w:val="center"/>
          </w:tcPr>
          <w:p w14:paraId="7D407A52">
            <w:pPr>
              <w:keepNext w:val="0"/>
              <w:keepLines w:val="0"/>
              <w:pageBreakBefore w:val="0"/>
              <w:kinsoku/>
              <w:wordWrap/>
              <w:overflowPunct/>
              <w:topLinePunct w:val="0"/>
              <w:autoSpaceDE w:val="0"/>
              <w:autoSpaceDN w:val="0"/>
              <w:bidi w:val="0"/>
              <w:adjustRightInd w:val="0"/>
              <w:spacing w:line="460" w:lineRule="exact"/>
              <w:ind w:left="0" w:firstLine="0" w:firstLineChars="0"/>
              <w:jc w:val="left"/>
              <w:textAlignment w:val="auto"/>
              <w:rPr>
                <w:rFonts w:hint="eastAsia" w:ascii="新宋体" w:hAnsi="新宋体" w:eastAsia="新宋体" w:cs="新宋体"/>
                <w:snapToGrid w:val="0"/>
                <w:color w:val="auto"/>
                <w:kern w:val="0"/>
                <w:sz w:val="22"/>
                <w:szCs w:val="22"/>
                <w:highlight w:val="none"/>
              </w:rPr>
            </w:pPr>
            <w:r>
              <w:rPr>
                <w:rFonts w:hint="eastAsia" w:ascii="新宋体" w:hAnsi="新宋体" w:eastAsia="新宋体" w:cs="新宋体"/>
                <w:bCs/>
                <w:color w:val="auto"/>
                <w:sz w:val="22"/>
                <w:szCs w:val="22"/>
                <w:highlight w:val="none"/>
              </w:rPr>
              <w:t>运输保障</w:t>
            </w:r>
            <w:r>
              <w:rPr>
                <w:rFonts w:hint="eastAsia" w:ascii="新宋体" w:hAnsi="新宋体" w:eastAsia="新宋体" w:cs="新宋体"/>
                <w:bCs/>
                <w:color w:val="auto"/>
                <w:sz w:val="22"/>
                <w:szCs w:val="22"/>
                <w:highlight w:val="none"/>
                <w:lang w:eastAsia="zh-CN"/>
              </w:rPr>
              <w:t>及应急保障</w:t>
            </w:r>
          </w:p>
        </w:tc>
        <w:tc>
          <w:tcPr>
            <w:tcW w:w="675" w:type="dxa"/>
            <w:noWrap w:val="0"/>
            <w:vAlign w:val="center"/>
          </w:tcPr>
          <w:p w14:paraId="0C5D3DFC">
            <w:pPr>
              <w:pStyle w:val="23"/>
              <w:keepNext w:val="0"/>
              <w:keepLines w:val="0"/>
              <w:pageBreakBefore w:val="0"/>
              <w:kinsoku/>
              <w:wordWrap/>
              <w:overflowPunct/>
              <w:topLinePunct w:val="0"/>
              <w:bidi w:val="0"/>
              <w:adjustRightInd w:val="0"/>
              <w:snapToGrid w:val="0"/>
              <w:spacing w:after="0" w:line="460" w:lineRule="exact"/>
              <w:ind w:left="0" w:leftChars="0" w:firstLine="0" w:firstLineChars="0"/>
              <w:jc w:val="center"/>
              <w:textAlignment w:val="auto"/>
              <w:rPr>
                <w:rFonts w:hint="eastAsia" w:ascii="新宋体" w:hAnsi="新宋体" w:eastAsia="新宋体" w:cs="新宋体"/>
                <w:snapToGrid w:val="0"/>
                <w:color w:val="auto"/>
                <w:kern w:val="0"/>
                <w:sz w:val="22"/>
                <w:szCs w:val="22"/>
                <w:highlight w:val="none"/>
                <w:lang w:eastAsia="zh-CN"/>
              </w:rPr>
            </w:pPr>
            <w:r>
              <w:rPr>
                <w:rFonts w:hint="eastAsia" w:ascii="新宋体" w:hAnsi="新宋体" w:eastAsia="新宋体" w:cs="新宋体"/>
                <w:snapToGrid w:val="0"/>
                <w:color w:val="auto"/>
                <w:kern w:val="0"/>
                <w:sz w:val="22"/>
                <w:szCs w:val="22"/>
                <w:highlight w:val="none"/>
                <w:lang w:val="en-US" w:eastAsia="zh-CN"/>
              </w:rPr>
              <w:t>3分</w:t>
            </w:r>
          </w:p>
        </w:tc>
        <w:tc>
          <w:tcPr>
            <w:tcW w:w="7186" w:type="dxa"/>
            <w:noWrap w:val="0"/>
            <w:vAlign w:val="center"/>
          </w:tcPr>
          <w:p w14:paraId="72614D34">
            <w:pPr>
              <w:keepNext w:val="0"/>
              <w:keepLines w:val="0"/>
              <w:pageBreakBefore w:val="0"/>
              <w:kinsoku/>
              <w:wordWrap/>
              <w:overflowPunct/>
              <w:topLinePunct w:val="0"/>
              <w:autoSpaceDE w:val="0"/>
              <w:autoSpaceDN w:val="0"/>
              <w:bidi w:val="0"/>
              <w:adjustRightInd w:val="0"/>
              <w:spacing w:line="460" w:lineRule="exact"/>
              <w:ind w:left="0" w:firstLine="0" w:firstLineChars="0"/>
              <w:textAlignment w:val="auto"/>
              <w:rPr>
                <w:rFonts w:hint="eastAsia" w:ascii="新宋体" w:hAnsi="新宋体" w:eastAsia="新宋体" w:cs="新宋体"/>
                <w:snapToGrid w:val="0"/>
                <w:color w:val="auto"/>
                <w:kern w:val="0"/>
                <w:sz w:val="22"/>
                <w:szCs w:val="22"/>
                <w:highlight w:val="none"/>
              </w:rPr>
            </w:pPr>
            <w:r>
              <w:rPr>
                <w:rFonts w:hint="eastAsia" w:ascii="新宋体" w:hAnsi="新宋体" w:eastAsia="新宋体" w:cs="新宋体"/>
                <w:bCs/>
                <w:color w:val="auto"/>
                <w:sz w:val="22"/>
                <w:szCs w:val="22"/>
                <w:highlight w:val="none"/>
              </w:rPr>
              <w:t>投标人自有运输车辆</w:t>
            </w:r>
            <w:r>
              <w:rPr>
                <w:rFonts w:hint="eastAsia" w:ascii="新宋体" w:hAnsi="新宋体" w:eastAsia="新宋体" w:cs="新宋体"/>
                <w:bCs/>
                <w:color w:val="auto"/>
                <w:sz w:val="22"/>
                <w:szCs w:val="22"/>
                <w:highlight w:val="none"/>
                <w:lang w:val="en-US" w:eastAsia="zh-CN"/>
              </w:rPr>
              <w:t>或合同有效期内租赁车辆</w:t>
            </w:r>
            <w:r>
              <w:rPr>
                <w:rFonts w:hint="eastAsia" w:ascii="新宋体" w:hAnsi="新宋体" w:eastAsia="新宋体" w:cs="新宋体"/>
                <w:bCs/>
                <w:color w:val="auto"/>
                <w:sz w:val="22"/>
                <w:szCs w:val="22"/>
                <w:highlight w:val="none"/>
              </w:rPr>
              <w:t>的每1辆得1.5分，本项最高分3分（提供车辆行驶证等相关证明材料复印件</w:t>
            </w:r>
            <w:r>
              <w:rPr>
                <w:rFonts w:hint="eastAsia" w:ascii="新宋体" w:hAnsi="新宋体" w:eastAsia="新宋体" w:cs="新宋体"/>
                <w:color w:val="auto"/>
                <w:sz w:val="22"/>
                <w:szCs w:val="22"/>
                <w:highlight w:val="none"/>
                <w:lang w:val="en-US" w:eastAsia="zh-CN"/>
              </w:rPr>
              <w:t>并加盖投标人公章，</w:t>
            </w:r>
            <w:r>
              <w:rPr>
                <w:rFonts w:hint="eastAsia" w:ascii="新宋体" w:hAnsi="新宋体" w:eastAsia="新宋体" w:cs="新宋体"/>
                <w:bCs/>
                <w:color w:val="auto"/>
                <w:sz w:val="22"/>
                <w:szCs w:val="22"/>
                <w:highlight w:val="none"/>
                <w:lang w:val="en-US" w:eastAsia="zh-CN"/>
              </w:rPr>
              <w:t>车辆类型：七座以上面包车或小型以上货运车辆</w:t>
            </w:r>
            <w:r>
              <w:rPr>
                <w:rFonts w:hint="eastAsia" w:ascii="新宋体" w:hAnsi="新宋体" w:eastAsia="新宋体" w:cs="新宋体"/>
                <w:bCs/>
                <w:color w:val="auto"/>
                <w:sz w:val="22"/>
                <w:szCs w:val="22"/>
                <w:highlight w:val="none"/>
              </w:rPr>
              <w:t>）；</w:t>
            </w:r>
          </w:p>
        </w:tc>
      </w:tr>
      <w:tr w14:paraId="31AA5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2" w:type="dxa"/>
            <w:vMerge w:val="continue"/>
            <w:noWrap w:val="0"/>
            <w:vAlign w:val="center"/>
          </w:tcPr>
          <w:p w14:paraId="35A5929B">
            <w:pPr>
              <w:keepNext w:val="0"/>
              <w:keepLines w:val="0"/>
              <w:pageBreakBefore w:val="0"/>
              <w:kinsoku/>
              <w:wordWrap/>
              <w:overflowPunct/>
              <w:topLinePunct w:val="0"/>
              <w:autoSpaceDE w:val="0"/>
              <w:autoSpaceDN w:val="0"/>
              <w:bidi w:val="0"/>
              <w:adjustRightInd w:val="0"/>
              <w:spacing w:line="460" w:lineRule="exact"/>
              <w:ind w:left="0" w:firstLine="0" w:firstLineChars="0"/>
              <w:textAlignment w:val="auto"/>
              <w:rPr>
                <w:rFonts w:hint="eastAsia" w:ascii="新宋体" w:hAnsi="新宋体" w:eastAsia="新宋体" w:cs="新宋体"/>
                <w:color w:val="auto"/>
                <w:sz w:val="22"/>
                <w:szCs w:val="22"/>
                <w:highlight w:val="none"/>
              </w:rPr>
            </w:pPr>
          </w:p>
        </w:tc>
        <w:tc>
          <w:tcPr>
            <w:tcW w:w="1365" w:type="dxa"/>
            <w:vMerge w:val="continue"/>
            <w:noWrap w:val="0"/>
            <w:vAlign w:val="center"/>
          </w:tcPr>
          <w:p w14:paraId="3879A95A">
            <w:pPr>
              <w:keepNext w:val="0"/>
              <w:keepLines w:val="0"/>
              <w:pageBreakBefore w:val="0"/>
              <w:kinsoku/>
              <w:wordWrap/>
              <w:overflowPunct/>
              <w:topLinePunct w:val="0"/>
              <w:autoSpaceDE w:val="0"/>
              <w:autoSpaceDN w:val="0"/>
              <w:bidi w:val="0"/>
              <w:adjustRightInd w:val="0"/>
              <w:spacing w:line="460" w:lineRule="exact"/>
              <w:ind w:left="0" w:firstLine="0" w:firstLineChars="0"/>
              <w:textAlignment w:val="auto"/>
              <w:rPr>
                <w:rFonts w:hint="eastAsia" w:ascii="新宋体" w:hAnsi="新宋体" w:eastAsia="新宋体" w:cs="新宋体"/>
                <w:color w:val="auto"/>
                <w:sz w:val="22"/>
                <w:szCs w:val="22"/>
                <w:highlight w:val="none"/>
              </w:rPr>
            </w:pPr>
          </w:p>
        </w:tc>
        <w:tc>
          <w:tcPr>
            <w:tcW w:w="675" w:type="dxa"/>
            <w:noWrap w:val="0"/>
            <w:vAlign w:val="center"/>
          </w:tcPr>
          <w:p w14:paraId="06E35218">
            <w:pPr>
              <w:pStyle w:val="23"/>
              <w:keepNext w:val="0"/>
              <w:keepLines w:val="0"/>
              <w:pageBreakBefore w:val="0"/>
              <w:kinsoku/>
              <w:wordWrap/>
              <w:overflowPunct/>
              <w:topLinePunct w:val="0"/>
              <w:bidi w:val="0"/>
              <w:adjustRightInd w:val="0"/>
              <w:snapToGrid w:val="0"/>
              <w:spacing w:after="0" w:line="460" w:lineRule="exact"/>
              <w:ind w:left="0" w:leftChars="0" w:firstLine="0" w:firstLineChars="0"/>
              <w:jc w:val="center"/>
              <w:textAlignment w:val="auto"/>
              <w:rPr>
                <w:rFonts w:hint="eastAsia" w:ascii="新宋体" w:hAnsi="新宋体" w:eastAsia="新宋体" w:cs="新宋体"/>
                <w:snapToGrid w:val="0"/>
                <w:color w:val="auto"/>
                <w:kern w:val="0"/>
                <w:sz w:val="22"/>
                <w:szCs w:val="22"/>
                <w:highlight w:val="none"/>
                <w:lang w:val="en-US" w:eastAsia="zh-CN"/>
              </w:rPr>
            </w:pPr>
            <w:r>
              <w:rPr>
                <w:rFonts w:hint="eastAsia" w:ascii="新宋体" w:hAnsi="新宋体" w:eastAsia="新宋体" w:cs="新宋体"/>
                <w:snapToGrid w:val="0"/>
                <w:color w:val="auto"/>
                <w:kern w:val="0"/>
                <w:sz w:val="22"/>
                <w:szCs w:val="22"/>
                <w:highlight w:val="none"/>
                <w:lang w:val="en-US" w:eastAsia="zh-CN"/>
              </w:rPr>
              <w:t>3分</w:t>
            </w:r>
          </w:p>
        </w:tc>
        <w:tc>
          <w:tcPr>
            <w:tcW w:w="7186" w:type="dxa"/>
            <w:noWrap w:val="0"/>
            <w:vAlign w:val="center"/>
          </w:tcPr>
          <w:p w14:paraId="3073580D">
            <w:pPr>
              <w:keepNext w:val="0"/>
              <w:keepLines w:val="0"/>
              <w:pageBreakBefore w:val="0"/>
              <w:kinsoku/>
              <w:wordWrap/>
              <w:overflowPunct/>
              <w:topLinePunct w:val="0"/>
              <w:autoSpaceDE w:val="0"/>
              <w:autoSpaceDN w:val="0"/>
              <w:bidi w:val="0"/>
              <w:adjustRightInd w:val="0"/>
              <w:spacing w:line="460" w:lineRule="exact"/>
              <w:ind w:left="0" w:firstLine="0" w:firstLineChars="0"/>
              <w:textAlignment w:val="auto"/>
              <w:rPr>
                <w:rFonts w:hint="eastAsia" w:ascii="新宋体" w:hAnsi="新宋体" w:eastAsia="新宋体" w:cs="新宋体"/>
                <w:snapToGrid w:val="0"/>
                <w:color w:val="auto"/>
                <w:kern w:val="0"/>
                <w:sz w:val="22"/>
                <w:szCs w:val="22"/>
                <w:highlight w:val="none"/>
              </w:rPr>
            </w:pPr>
            <w:r>
              <w:rPr>
                <w:rFonts w:hint="eastAsia" w:ascii="新宋体" w:hAnsi="新宋体" w:eastAsia="新宋体" w:cs="新宋体"/>
                <w:bCs/>
                <w:color w:val="auto"/>
                <w:sz w:val="22"/>
                <w:szCs w:val="22"/>
                <w:highlight w:val="none"/>
              </w:rPr>
              <w:t>由评委根据对投标人描述的运输保障的措施等</w:t>
            </w:r>
            <w:r>
              <w:rPr>
                <w:rFonts w:hint="eastAsia" w:ascii="新宋体" w:hAnsi="新宋体" w:eastAsia="新宋体" w:cs="新宋体"/>
                <w:color w:val="auto"/>
                <w:sz w:val="22"/>
                <w:szCs w:val="22"/>
                <w:highlight w:val="none"/>
              </w:rPr>
              <w:t>进行</w:t>
            </w:r>
            <w:r>
              <w:rPr>
                <w:rFonts w:hint="eastAsia" w:ascii="新宋体" w:hAnsi="新宋体" w:eastAsia="新宋体" w:cs="新宋体"/>
                <w:snapToGrid w:val="0"/>
                <w:color w:val="auto"/>
                <w:kern w:val="0"/>
                <w:sz w:val="22"/>
                <w:szCs w:val="22"/>
                <w:highlight w:val="none"/>
                <w:lang w:val="en-US" w:eastAsia="zh-CN"/>
              </w:rPr>
              <w:t>综合评审</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bCs/>
                <w:color w:val="auto"/>
                <w:sz w:val="22"/>
                <w:szCs w:val="22"/>
                <w:highlight w:val="none"/>
                <w:lang w:val="zh-CN" w:bidi="ar"/>
              </w:rPr>
              <w:t>（评分范围：</w:t>
            </w:r>
            <w:r>
              <w:rPr>
                <w:rFonts w:hint="eastAsia" w:ascii="新宋体" w:hAnsi="新宋体" w:eastAsia="新宋体" w:cs="新宋体"/>
                <w:bCs/>
                <w:color w:val="auto"/>
                <w:sz w:val="22"/>
                <w:szCs w:val="22"/>
                <w:highlight w:val="none"/>
                <w:lang w:val="en-US" w:eastAsia="zh-CN" w:bidi="ar"/>
              </w:rPr>
              <w:t>3、2、1、</w:t>
            </w:r>
            <w:r>
              <w:rPr>
                <w:rFonts w:hint="eastAsia" w:ascii="新宋体" w:hAnsi="新宋体" w:eastAsia="新宋体" w:cs="新宋体"/>
                <w:bCs/>
                <w:color w:val="auto"/>
                <w:sz w:val="22"/>
                <w:szCs w:val="22"/>
                <w:highlight w:val="none"/>
                <w:lang w:bidi="ar"/>
              </w:rPr>
              <w:t>0</w:t>
            </w:r>
            <w:r>
              <w:rPr>
                <w:rFonts w:hint="eastAsia" w:ascii="新宋体" w:hAnsi="新宋体" w:eastAsia="新宋体" w:cs="新宋体"/>
                <w:bCs/>
                <w:color w:val="auto"/>
                <w:sz w:val="22"/>
                <w:szCs w:val="22"/>
                <w:highlight w:val="none"/>
                <w:lang w:val="zh-CN" w:bidi="ar"/>
              </w:rPr>
              <w:t>）</w:t>
            </w:r>
          </w:p>
        </w:tc>
      </w:tr>
      <w:tr w14:paraId="03EC6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692" w:type="dxa"/>
            <w:vMerge w:val="continue"/>
            <w:noWrap w:val="0"/>
            <w:vAlign w:val="center"/>
          </w:tcPr>
          <w:p w14:paraId="353F7A22">
            <w:pPr>
              <w:keepNext w:val="0"/>
              <w:keepLines w:val="0"/>
              <w:pageBreakBefore w:val="0"/>
              <w:kinsoku/>
              <w:wordWrap/>
              <w:overflowPunct/>
              <w:topLinePunct w:val="0"/>
              <w:bidi w:val="0"/>
              <w:adjustRightInd w:val="0"/>
              <w:snapToGrid w:val="0"/>
              <w:spacing w:line="460" w:lineRule="exact"/>
              <w:ind w:left="0" w:firstLine="0" w:firstLineChars="0"/>
              <w:jc w:val="center"/>
              <w:textAlignment w:val="auto"/>
              <w:rPr>
                <w:rFonts w:hint="eastAsia" w:ascii="新宋体" w:hAnsi="新宋体" w:eastAsia="新宋体" w:cs="新宋体"/>
                <w:snapToGrid w:val="0"/>
                <w:color w:val="auto"/>
                <w:kern w:val="0"/>
                <w:sz w:val="22"/>
                <w:szCs w:val="22"/>
                <w:highlight w:val="none"/>
                <w:lang w:eastAsia="zh-CN"/>
              </w:rPr>
            </w:pPr>
          </w:p>
        </w:tc>
        <w:tc>
          <w:tcPr>
            <w:tcW w:w="1365" w:type="dxa"/>
            <w:vMerge w:val="continue"/>
            <w:noWrap w:val="0"/>
            <w:vAlign w:val="center"/>
          </w:tcPr>
          <w:p w14:paraId="16678004">
            <w:pPr>
              <w:keepNext w:val="0"/>
              <w:keepLines w:val="0"/>
              <w:pageBreakBefore w:val="0"/>
              <w:kinsoku/>
              <w:wordWrap/>
              <w:overflowPunct/>
              <w:topLinePunct w:val="0"/>
              <w:bidi w:val="0"/>
              <w:adjustRightInd w:val="0"/>
              <w:snapToGrid w:val="0"/>
              <w:spacing w:line="460" w:lineRule="exact"/>
              <w:ind w:left="0" w:firstLine="0" w:firstLineChars="0"/>
              <w:jc w:val="left"/>
              <w:textAlignment w:val="auto"/>
              <w:rPr>
                <w:rFonts w:hint="eastAsia" w:ascii="新宋体" w:hAnsi="新宋体" w:eastAsia="新宋体" w:cs="新宋体"/>
                <w:snapToGrid w:val="0"/>
                <w:color w:val="auto"/>
                <w:kern w:val="0"/>
                <w:sz w:val="22"/>
                <w:szCs w:val="22"/>
                <w:highlight w:val="none"/>
              </w:rPr>
            </w:pPr>
          </w:p>
        </w:tc>
        <w:tc>
          <w:tcPr>
            <w:tcW w:w="675" w:type="dxa"/>
            <w:noWrap w:val="0"/>
            <w:vAlign w:val="center"/>
          </w:tcPr>
          <w:p w14:paraId="5A644A9E">
            <w:pPr>
              <w:pStyle w:val="23"/>
              <w:keepNext w:val="0"/>
              <w:keepLines w:val="0"/>
              <w:pageBreakBefore w:val="0"/>
              <w:kinsoku/>
              <w:wordWrap/>
              <w:overflowPunct/>
              <w:topLinePunct w:val="0"/>
              <w:bidi w:val="0"/>
              <w:adjustRightInd w:val="0"/>
              <w:snapToGrid w:val="0"/>
              <w:spacing w:after="0" w:line="460" w:lineRule="exact"/>
              <w:ind w:left="0" w:leftChars="0" w:firstLine="0" w:firstLineChars="0"/>
              <w:jc w:val="center"/>
              <w:textAlignment w:val="auto"/>
              <w:rPr>
                <w:rFonts w:hint="eastAsia" w:ascii="新宋体" w:hAnsi="新宋体" w:eastAsia="新宋体" w:cs="新宋体"/>
                <w:snapToGrid w:val="0"/>
                <w:color w:val="auto"/>
                <w:kern w:val="0"/>
                <w:sz w:val="22"/>
                <w:szCs w:val="22"/>
                <w:highlight w:val="none"/>
                <w:lang w:val="en-US" w:eastAsia="zh-CN"/>
              </w:rPr>
            </w:pPr>
            <w:r>
              <w:rPr>
                <w:rFonts w:hint="eastAsia" w:ascii="新宋体" w:hAnsi="新宋体" w:eastAsia="新宋体" w:cs="新宋体"/>
                <w:snapToGrid w:val="0"/>
                <w:color w:val="auto"/>
                <w:kern w:val="0"/>
                <w:sz w:val="22"/>
                <w:szCs w:val="22"/>
                <w:highlight w:val="none"/>
                <w:lang w:val="en-US" w:eastAsia="zh-CN"/>
              </w:rPr>
              <w:t>5分</w:t>
            </w:r>
          </w:p>
        </w:tc>
        <w:tc>
          <w:tcPr>
            <w:tcW w:w="7186" w:type="dxa"/>
            <w:noWrap w:val="0"/>
            <w:vAlign w:val="center"/>
          </w:tcPr>
          <w:p w14:paraId="0BDC0D1C">
            <w:pPr>
              <w:keepNext w:val="0"/>
              <w:keepLines w:val="0"/>
              <w:pageBreakBefore w:val="0"/>
              <w:widowControl/>
              <w:suppressLineNumbers w:val="0"/>
              <w:kinsoku/>
              <w:wordWrap/>
              <w:overflowPunct/>
              <w:topLinePunct w:val="0"/>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val="en-US" w:eastAsia="zh-CN" w:bidi="ar"/>
              </w:rPr>
              <w:t>由于台风天气、停水、停电、公共卫生突发事件等情况出现的，所提供的应急措施是否具有针对性、合理性和科学性等进行</w:t>
            </w:r>
            <w:r>
              <w:rPr>
                <w:rFonts w:hint="eastAsia" w:ascii="新宋体" w:hAnsi="新宋体" w:eastAsia="新宋体" w:cs="新宋体"/>
                <w:snapToGrid w:val="0"/>
                <w:color w:val="auto"/>
                <w:kern w:val="0"/>
                <w:sz w:val="22"/>
                <w:szCs w:val="22"/>
                <w:highlight w:val="none"/>
                <w:lang w:val="en-US" w:eastAsia="zh-CN"/>
              </w:rPr>
              <w:t>综合评审</w:t>
            </w:r>
            <w:r>
              <w:rPr>
                <w:rFonts w:hint="eastAsia" w:ascii="新宋体" w:hAnsi="新宋体" w:eastAsia="新宋体" w:cs="新宋体"/>
                <w:color w:val="auto"/>
                <w:kern w:val="0"/>
                <w:sz w:val="22"/>
                <w:szCs w:val="22"/>
                <w:highlight w:val="none"/>
                <w:lang w:val="en-US" w:eastAsia="zh-CN" w:bidi="ar"/>
              </w:rPr>
              <w:t>。</w:t>
            </w:r>
            <w:r>
              <w:rPr>
                <w:rFonts w:hint="eastAsia" w:ascii="新宋体" w:hAnsi="新宋体" w:eastAsia="新宋体" w:cs="新宋体"/>
                <w:bCs/>
                <w:color w:val="auto"/>
                <w:sz w:val="22"/>
                <w:szCs w:val="22"/>
                <w:highlight w:val="none"/>
                <w:lang w:val="zh-CN" w:bidi="ar"/>
              </w:rPr>
              <w:t>（评分范围：</w:t>
            </w:r>
            <w:r>
              <w:rPr>
                <w:rFonts w:hint="eastAsia" w:ascii="新宋体" w:hAnsi="新宋体" w:eastAsia="新宋体" w:cs="新宋体"/>
                <w:bCs/>
                <w:color w:val="auto"/>
                <w:sz w:val="22"/>
                <w:szCs w:val="22"/>
                <w:highlight w:val="none"/>
                <w:lang w:val="en-US" w:eastAsia="zh-CN" w:bidi="ar"/>
              </w:rPr>
              <w:t>5、4、3、2、1、</w:t>
            </w:r>
            <w:r>
              <w:rPr>
                <w:rFonts w:hint="eastAsia" w:ascii="新宋体" w:hAnsi="新宋体" w:eastAsia="新宋体" w:cs="新宋体"/>
                <w:bCs/>
                <w:color w:val="auto"/>
                <w:sz w:val="22"/>
                <w:szCs w:val="22"/>
                <w:highlight w:val="none"/>
                <w:lang w:bidi="ar"/>
              </w:rPr>
              <w:t>0</w:t>
            </w:r>
            <w:r>
              <w:rPr>
                <w:rFonts w:hint="eastAsia" w:ascii="新宋体" w:hAnsi="新宋体" w:eastAsia="新宋体" w:cs="新宋体"/>
                <w:bCs/>
                <w:color w:val="auto"/>
                <w:sz w:val="22"/>
                <w:szCs w:val="22"/>
                <w:highlight w:val="none"/>
                <w:lang w:val="zh-CN" w:bidi="ar"/>
              </w:rPr>
              <w:t>）</w:t>
            </w:r>
          </w:p>
        </w:tc>
      </w:tr>
    </w:tbl>
    <w:p w14:paraId="2EC4366B">
      <w:pPr>
        <w:spacing w:line="460" w:lineRule="exact"/>
        <w:ind w:firstLine="442" w:firstLineChars="200"/>
        <w:rPr>
          <w:rFonts w:hint="eastAsia" w:ascii="新宋体" w:hAnsi="新宋体" w:eastAsia="新宋体" w:cs="新宋体"/>
          <w:b/>
          <w:color w:val="auto"/>
          <w:sz w:val="22"/>
          <w:szCs w:val="22"/>
          <w:highlight w:val="none"/>
          <w:lang w:eastAsia="zh-CN"/>
        </w:rPr>
      </w:pPr>
      <w:r>
        <w:rPr>
          <w:rFonts w:hint="eastAsia" w:ascii="新宋体" w:hAnsi="新宋体" w:eastAsia="新宋体" w:cs="新宋体"/>
          <w:b/>
          <w:color w:val="auto"/>
          <w:sz w:val="22"/>
          <w:szCs w:val="22"/>
          <w:highlight w:val="none"/>
        </w:rPr>
        <w:t>2、报价评分（权值</w:t>
      </w:r>
      <w:r>
        <w:rPr>
          <w:rFonts w:hint="eastAsia" w:ascii="新宋体" w:hAnsi="新宋体" w:eastAsia="新宋体" w:cs="新宋体"/>
          <w:b/>
          <w:color w:val="auto"/>
          <w:sz w:val="22"/>
          <w:szCs w:val="22"/>
          <w:highlight w:val="none"/>
          <w:lang w:val="en-US" w:eastAsia="zh-CN"/>
        </w:rPr>
        <w:t>3</w:t>
      </w:r>
      <w:r>
        <w:rPr>
          <w:rFonts w:hint="eastAsia" w:ascii="新宋体" w:hAnsi="新宋体" w:eastAsia="新宋体" w:cs="新宋体"/>
          <w:b/>
          <w:color w:val="auto"/>
          <w:sz w:val="22"/>
          <w:szCs w:val="22"/>
          <w:highlight w:val="none"/>
        </w:rPr>
        <w:t>0%）：</w:t>
      </w:r>
    </w:p>
    <w:p w14:paraId="07A18540">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lang w:val="zh-CN"/>
        </w:rPr>
      </w:pPr>
      <w:r>
        <w:rPr>
          <w:rFonts w:hint="eastAsia" w:ascii="新宋体" w:hAnsi="新宋体" w:eastAsia="新宋体" w:cs="新宋体"/>
          <w:b/>
          <w:bCs/>
          <w:color w:val="auto"/>
          <w:sz w:val="22"/>
          <w:szCs w:val="22"/>
          <w:highlight w:val="none"/>
          <w:lang w:val="zh-CN"/>
        </w:rPr>
        <w:t>满足招标文件要求且投标报价最低的投标报价为评标基准价，其余投标人投标报价与该基准价对比，计算出报价评分值（保留小数2位）：</w:t>
      </w:r>
    </w:p>
    <w:p w14:paraId="61C75D1B">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lang w:val="zh-CN"/>
        </w:rPr>
      </w:pPr>
      <w:r>
        <w:rPr>
          <w:rFonts w:hint="eastAsia" w:ascii="新宋体" w:hAnsi="新宋体" w:eastAsia="新宋体" w:cs="新宋体"/>
          <w:b/>
          <w:bCs/>
          <w:color w:val="auto"/>
          <w:sz w:val="22"/>
          <w:szCs w:val="22"/>
          <w:highlight w:val="none"/>
          <w:lang w:val="zh-CN"/>
        </w:rPr>
        <w:t>1）有效投标人的投标报价等于评标基准价时其报价分为满分30分；</w:t>
      </w:r>
    </w:p>
    <w:p w14:paraId="50CD4274">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lang w:val="zh-CN"/>
        </w:rPr>
      </w:pPr>
      <w:r>
        <w:rPr>
          <w:rFonts w:hint="eastAsia" w:ascii="新宋体" w:hAnsi="新宋体" w:eastAsia="新宋体" w:cs="新宋体"/>
          <w:b/>
          <w:bCs/>
          <w:color w:val="auto"/>
          <w:sz w:val="22"/>
          <w:szCs w:val="22"/>
          <w:highlight w:val="none"/>
          <w:lang w:val="zh-CN"/>
        </w:rPr>
        <w:t>2）其他投标人的价格分按以下公式计算：</w:t>
      </w:r>
    </w:p>
    <w:p w14:paraId="0B8A5257">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lang w:val="zh-CN"/>
        </w:rPr>
      </w:pPr>
      <w:r>
        <w:rPr>
          <w:rFonts w:hint="eastAsia" w:ascii="新宋体" w:hAnsi="新宋体" w:eastAsia="新宋体" w:cs="新宋体"/>
          <w:b/>
          <w:bCs/>
          <w:color w:val="auto"/>
          <w:sz w:val="22"/>
          <w:szCs w:val="22"/>
          <w:highlight w:val="none"/>
          <w:lang w:val="zh-CN"/>
        </w:rPr>
        <w:t>投标报价得分=（评分基准价/投标人投标报价）× 价格权值 ×100（保留小数2位）</w:t>
      </w:r>
    </w:p>
    <w:p w14:paraId="4BD7A61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3、有效投标人的综合得分为商务技术分和报价分的总和。</w:t>
      </w:r>
    </w:p>
    <w:p w14:paraId="3CC39C80">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4、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7B5A036C">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outlineLvl w:val="1"/>
        <w:rPr>
          <w:rFonts w:hint="eastAsia" w:ascii="新宋体" w:hAnsi="新宋体" w:eastAsia="新宋体" w:cs="新宋体"/>
          <w:b/>
          <w:bCs/>
          <w:color w:val="auto"/>
          <w:sz w:val="22"/>
          <w:szCs w:val="22"/>
          <w:highlight w:val="none"/>
        </w:rPr>
      </w:pPr>
      <w:bookmarkStart w:id="59" w:name="_Toc14937"/>
      <w:r>
        <w:rPr>
          <w:rFonts w:hint="eastAsia" w:ascii="新宋体" w:hAnsi="新宋体" w:eastAsia="新宋体" w:cs="新宋体"/>
          <w:b/>
          <w:bCs/>
          <w:color w:val="auto"/>
          <w:sz w:val="22"/>
          <w:szCs w:val="22"/>
          <w:highlight w:val="none"/>
        </w:rPr>
        <w:t>六、定标办法</w:t>
      </w:r>
      <w:bookmarkEnd w:id="59"/>
    </w:p>
    <w:p w14:paraId="581909E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确定中标候选人</w:t>
      </w:r>
    </w:p>
    <w:p w14:paraId="30A65AA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1.1由评标委员会确定中标候选人。</w:t>
      </w:r>
    </w:p>
    <w:p w14:paraId="7CAB7A8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1.2评标委员会依据法律、法规及招标文件有关规定按评审后得分（即商务技术分与报价分之和）由高到低顺序排序，得分前二名的投标人确定为该项目的第一和第二中标候选人（得分相同的，按投标报价由低到高顺序排列，得分且投标报价相同的并列。）向招标人推荐。</w:t>
      </w:r>
    </w:p>
    <w:p w14:paraId="30688AF3">
      <w:pPr>
        <w:keepNext w:val="0"/>
        <w:keepLines w:val="0"/>
        <w:pageBreakBefore w:val="0"/>
        <w:kinsoku/>
        <w:wordWrap/>
        <w:overflowPunct/>
        <w:topLinePunct w:val="0"/>
        <w:autoSpaceDE/>
        <w:autoSpaceDN/>
        <w:bidi w:val="0"/>
        <w:adjustRightIn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2、确定中标人</w:t>
      </w:r>
    </w:p>
    <w:p w14:paraId="16092494">
      <w:pPr>
        <w:keepNext w:val="0"/>
        <w:keepLines w:val="0"/>
        <w:pageBreakBefore w:val="0"/>
        <w:kinsoku/>
        <w:wordWrap/>
        <w:overflowPunct/>
        <w:topLinePunct w:val="0"/>
        <w:autoSpaceDE/>
        <w:autoSpaceDN/>
        <w:bidi w:val="0"/>
        <w:adjustRightInd/>
        <w:spacing w:line="460" w:lineRule="exact"/>
        <w:ind w:firstLine="442"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2.1招标人按照评标报告中推荐的中标候选供应商顺序确定中标人；也可以事先授权评标委员会按照推荐的中标候选供应商顺序直接确定中标人。中标候选人并列的，由评标委员会全体成员记名投票按少数服从多数的原则确定排名。</w:t>
      </w:r>
    </w:p>
    <w:p w14:paraId="180914C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2.2如中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中标人或重新组织招标。</w:t>
      </w:r>
    </w:p>
    <w:p w14:paraId="6AA62B2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3、中标人确定后，招标人将在指定媒体公告中标结果，招标人向中标人发出中标通知书。</w:t>
      </w:r>
    </w:p>
    <w:p w14:paraId="6B2ED23F">
      <w:pPr>
        <w:spacing w:line="460" w:lineRule="exact"/>
        <w:ind w:firstLine="442" w:firstLineChars="200"/>
        <w:outlineLvl w:val="1"/>
        <w:rPr>
          <w:rFonts w:hint="eastAsia" w:ascii="新宋体" w:hAnsi="新宋体" w:eastAsia="新宋体" w:cs="新宋体"/>
          <w:b/>
          <w:color w:val="auto"/>
          <w:sz w:val="22"/>
          <w:szCs w:val="22"/>
          <w:highlight w:val="none"/>
        </w:rPr>
      </w:pPr>
      <w:bookmarkStart w:id="60" w:name="_Toc11730"/>
      <w:r>
        <w:rPr>
          <w:rFonts w:hint="eastAsia" w:ascii="新宋体" w:hAnsi="新宋体" w:eastAsia="新宋体" w:cs="新宋体"/>
          <w:b/>
          <w:color w:val="auto"/>
          <w:sz w:val="22"/>
          <w:szCs w:val="22"/>
          <w:highlight w:val="none"/>
        </w:rPr>
        <w:t>七、投标人义务</w:t>
      </w:r>
      <w:bookmarkEnd w:id="60"/>
    </w:p>
    <w:p w14:paraId="6F7A88D5">
      <w:pPr>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color w:val="auto"/>
          <w:sz w:val="22"/>
          <w:szCs w:val="22"/>
          <w:highlight w:val="none"/>
        </w:rPr>
        <w:t>投标人应随时接受评标委员会的询标，解答包括有关的商务技术、报价问题等。评标结束，所有评标资料存招标机构备查。</w:t>
      </w:r>
    </w:p>
    <w:sectPr>
      <w:headerReference r:id="rId9" w:type="default"/>
      <w:footerReference r:id="rId10" w:type="default"/>
      <w:pgSz w:w="11907" w:h="16840"/>
      <w:pgMar w:top="1134" w:right="1134" w:bottom="1134" w:left="1134" w:header="851" w:footer="992"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auto"/>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等线 Light">
    <w:panose1 w:val="02010600030101010101"/>
    <w:charset w:val="86"/>
    <w:family w:val="auto"/>
    <w:pitch w:val="default"/>
    <w:sig w:usb0="A00002BF" w:usb1="38CF7CFA" w:usb2="00000016" w:usb3="00000000" w:csb0="0004000F" w:csb1="00000000"/>
  </w:font>
  <w:font w:name="Arial Unicode MS">
    <w:panose1 w:val="020B0604020202020204"/>
    <w:charset w:val="86"/>
    <w:family w:val="swiss"/>
    <w:pitch w:val="default"/>
    <w:sig w:usb0="FFFFFFFF" w:usb1="E9FFFFFF" w:usb2="0000003F" w:usb3="00000000" w:csb0="603F01FF" w:csb1="FFFF0000"/>
  </w:font>
  <w:font w:name="楷体_GB2312">
    <w:altName w:val="楷体"/>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PMingLiU">
    <w:altName w:val="Microsoft JhengHei"/>
    <w:panose1 w:val="02020500000000000000"/>
    <w:charset w:val="88"/>
    <w:family w:val="roman"/>
    <w:pitch w:val="default"/>
    <w:sig w:usb0="00000000" w:usb1="00000000" w:usb2="00000016" w:usb3="00000000" w:csb0="00100001" w:csb1="00000000"/>
  </w:font>
  <w:font w:name="Microsoft JhengHei">
    <w:panose1 w:val="020B0604030504040204"/>
    <w:charset w:val="88"/>
    <w:family w:val="auto"/>
    <w:pitch w:val="default"/>
    <w:sig w:usb0="000002A7" w:usb1="28CF4400" w:usb2="00000016" w:usb3="00000000" w:csb0="00100009" w:csb1="00000000"/>
  </w:font>
  <w:font w:name="Helvetica">
    <w:altName w:val="Arial"/>
    <w:panose1 w:val="020B0604020202020204"/>
    <w:charset w:val="00"/>
    <w:family w:val="swiss"/>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07A964">
    <w:pPr>
      <w:pStyle w:val="36"/>
      <w:ind w:right="360" w:firstLine="4500" w:firstLineChars="25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98282E">
    <w:pPr>
      <w:pStyle w:val="36"/>
      <w:ind w:right="360" w:firstLine="4500" w:firstLineChars="250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3" name="文本框 9"/>
              <wp:cNvGraphicFramePr/>
              <a:graphic xmlns:a="http://schemas.openxmlformats.org/drawingml/2006/main">
                <a:graphicData uri="http://schemas.microsoft.com/office/word/2010/wordprocessingShape">
                  <wps:wsp>
                    <wps:cNvSpPr txBox="1"/>
                    <wps:spPr>
                      <a:xfrm>
                        <a:off x="0" y="0"/>
                        <a:ext cx="116205" cy="139700"/>
                      </a:xfrm>
                      <a:prstGeom prst="rect">
                        <a:avLst/>
                      </a:prstGeom>
                      <a:noFill/>
                      <a:ln>
                        <a:noFill/>
                      </a:ln>
                      <a:effectLst/>
                    </wps:spPr>
                    <wps:txbx>
                      <w:txbxContent>
                        <w:p w14:paraId="15298737">
                          <w:pPr>
                            <w:pStyle w:val="36"/>
                          </w:pPr>
                          <w:r>
                            <w:fldChar w:fldCharType="begin"/>
                          </w:r>
                          <w:r>
                            <w:instrText xml:space="preserve"> PAGE  \* MERGEFORMAT </w:instrText>
                          </w:r>
                          <w:r>
                            <w:fldChar w:fldCharType="separate"/>
                          </w:r>
                          <w:r>
                            <w:t>40</w:t>
                          </w:r>
                          <w:r>
                            <w:fldChar w:fldCharType="end"/>
                          </w:r>
                        </w:p>
                      </w:txbxContent>
                    </wps:txbx>
                    <wps:bodyPr vert="horz" wrap="none" lIns="0" tIns="0" rIns="0" bIns="0" anchor="t" anchorCtr="0">
                      <a:spAutoFit/>
                    </wps:bodyPr>
                  </wps:wsp>
                </a:graphicData>
              </a:graphic>
            </wp:anchor>
          </w:drawing>
        </mc:Choice>
        <mc:Fallback>
          <w:pict>
            <v:shape id="文本框 9"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AYulhTQAAAAAwEAAA8AAAAAAAAA&#10;AQAgAAAAIgAAAGRycy9kb3ducmV2LnhtbFBLAQIUABQAAAAIAIdO4kCZabV54AEAAL4DAAAOAAAA&#10;AAAAAAEAIAAAAB8BAABkcnMvZTJvRG9jLnhtbFBLBQYAAAAABgAGAFkBAABxBQAAAAA=&#10;">
              <v:fill on="f" focussize="0,0"/>
              <v:stroke on="f"/>
              <v:imagedata o:title=""/>
              <o:lock v:ext="edit" aspectratio="f"/>
              <v:textbox inset="0mm,0mm,0mm,0mm" style="mso-fit-shape-to-text:t;">
                <w:txbxContent>
                  <w:p w14:paraId="15298737">
                    <w:pPr>
                      <w:pStyle w:val="36"/>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A57A91">
    <w:pPr>
      <w:pStyle w:val="3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6205" cy="139700"/>
              <wp:effectExtent l="0" t="0" r="0" b="0"/>
              <wp:wrapNone/>
              <wp:docPr id="4" name="文本框 10"/>
              <wp:cNvGraphicFramePr/>
              <a:graphic xmlns:a="http://schemas.openxmlformats.org/drawingml/2006/main">
                <a:graphicData uri="http://schemas.microsoft.com/office/word/2010/wordprocessingShape">
                  <wps:wsp>
                    <wps:cNvSpPr txBox="1"/>
                    <wps:spPr>
                      <a:xfrm>
                        <a:off x="0" y="0"/>
                        <a:ext cx="116205" cy="139700"/>
                      </a:xfrm>
                      <a:prstGeom prst="rect">
                        <a:avLst/>
                      </a:prstGeom>
                      <a:noFill/>
                      <a:ln>
                        <a:noFill/>
                      </a:ln>
                      <a:effectLst/>
                    </wps:spPr>
                    <wps:txbx>
                      <w:txbxContent>
                        <w:p w14:paraId="263835B9">
                          <w:pPr>
                            <w:pStyle w:val="36"/>
                          </w:pPr>
                          <w:r>
                            <w:fldChar w:fldCharType="begin"/>
                          </w:r>
                          <w:r>
                            <w:instrText xml:space="preserve"> PAGE  \* MERGEFORMAT </w:instrText>
                          </w:r>
                          <w:r>
                            <w:fldChar w:fldCharType="separate"/>
                          </w:r>
                          <w:r>
                            <w:t>41</w:t>
                          </w:r>
                          <w:r>
                            <w:fldChar w:fldCharType="end"/>
                          </w:r>
                        </w:p>
                      </w:txbxContent>
                    </wps:txbx>
                    <wps:bodyPr vert="horz" wrap="none" lIns="0" tIns="0" rIns="0" bIns="0" anchor="t" anchorCtr="0">
                      <a:spAutoFit/>
                    </wps:bodyPr>
                  </wps:wsp>
                </a:graphicData>
              </a:graphic>
            </wp:anchor>
          </w:drawing>
        </mc:Choice>
        <mc:Fallback>
          <w:pict>
            <v:shape id="文本框 10" o:spid="_x0000_s1026" o:spt="202" type="#_x0000_t202" style="position:absolute;left:0pt;margin-top:0pt;height:11pt;width:9.15pt;mso-position-horizontal:center;mso-position-horizontal-relative:margin;mso-wrap-style:none;z-index:251660288;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AYulhTQAAAAAwEAAA8AAAAAAAAA&#10;AQAgAAAAIgAAAGRycy9kb3ducmV2LnhtbFBLAQIUABQAAAAIAIdO4kB4I41f4AEAAL8DAAAOAAAA&#10;AAAAAAEAIAAAAB8BAABkcnMvZTJvRG9jLnhtbFBLBQYAAAAABgAGAFkBAABxBQAAAAA=&#10;">
              <v:fill on="f" focussize="0,0"/>
              <v:stroke on="f"/>
              <v:imagedata o:title=""/>
              <o:lock v:ext="edit" aspectratio="f"/>
              <v:textbox inset="0mm,0mm,0mm,0mm" style="mso-fit-shape-to-text:t;">
                <w:txbxContent>
                  <w:p w14:paraId="263835B9">
                    <w:pPr>
                      <w:pStyle w:val="36"/>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9B3756">
    <w:pPr>
      <w:pStyle w:val="36"/>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16205" cy="139700"/>
              <wp:effectExtent l="0" t="0" r="0" b="0"/>
              <wp:wrapNone/>
              <wp:docPr id="6" name="文本框 12"/>
              <wp:cNvGraphicFramePr/>
              <a:graphic xmlns:a="http://schemas.openxmlformats.org/drawingml/2006/main">
                <a:graphicData uri="http://schemas.microsoft.com/office/word/2010/wordprocessingShape">
                  <wps:wsp>
                    <wps:cNvSpPr txBox="1"/>
                    <wps:spPr>
                      <a:xfrm>
                        <a:off x="0" y="0"/>
                        <a:ext cx="116205" cy="139700"/>
                      </a:xfrm>
                      <a:prstGeom prst="rect">
                        <a:avLst/>
                      </a:prstGeom>
                      <a:noFill/>
                      <a:ln>
                        <a:noFill/>
                      </a:ln>
                      <a:effectLst/>
                    </wps:spPr>
                    <wps:txbx>
                      <w:txbxContent>
                        <w:p w14:paraId="501049B3">
                          <w:pPr>
                            <w:pStyle w:val="36"/>
                          </w:pPr>
                          <w:r>
                            <w:fldChar w:fldCharType="begin"/>
                          </w:r>
                          <w:r>
                            <w:instrText xml:space="preserve"> PAGE  \* MERGEFORMAT </w:instrText>
                          </w:r>
                          <w:r>
                            <w:fldChar w:fldCharType="separate"/>
                          </w:r>
                          <w:r>
                            <w:t>57</w:t>
                          </w:r>
                          <w:r>
                            <w:fldChar w:fldCharType="end"/>
                          </w:r>
                        </w:p>
                      </w:txbxContent>
                    </wps:txbx>
                    <wps:bodyPr vert="horz" wrap="none" lIns="0" tIns="0" rIns="0" bIns="0" anchor="t" anchorCtr="0">
                      <a:spAutoFit/>
                    </wps:bodyPr>
                  </wps:wsp>
                </a:graphicData>
              </a:graphic>
            </wp:anchor>
          </w:drawing>
        </mc:Choice>
        <mc:Fallback>
          <w:pict>
            <v:shape id="文本框 12" o:spid="_x0000_s1026" o:spt="202" type="#_x0000_t202" style="position:absolute;left:0pt;margin-top:0pt;height:11pt;width:9.15pt;mso-position-horizontal:center;mso-position-horizontal-relative:margin;mso-wrap-style:none;z-index:251661312;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GLpYU0AAAAAMBAAAPAAAAAAAA&#10;AAEAIAAAACIAAABkcnMvZG93bnJldi54bWxQSwECFAAUAAAACACHTuJA9p05HOEBAAC/AwAADgAA&#10;AAAAAAABACAAAAAfAQAAZHJzL2Uyb0RvYy54bWxQSwUGAAAAAAYABgBZAQAAcgUAAAAA&#10;">
              <v:fill on="f" focussize="0,0"/>
              <v:stroke on="f"/>
              <v:imagedata o:title=""/>
              <o:lock v:ext="edit" aspectratio="f"/>
              <v:textbox inset="0mm,0mm,0mm,0mm" style="mso-fit-shape-to-text:t;">
                <w:txbxContent>
                  <w:p w14:paraId="501049B3">
                    <w:pPr>
                      <w:pStyle w:val="36"/>
                    </w:pPr>
                    <w:r>
                      <w:fldChar w:fldCharType="begin"/>
                    </w:r>
                    <w:r>
                      <w:instrText xml:space="preserve"> PAGE  \* MERGEFORMAT </w:instrText>
                    </w:r>
                    <w:r>
                      <w:fldChar w:fldCharType="separate"/>
                    </w:r>
                    <w:r>
                      <w:t>57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7E0F85">
    <w:pPr>
      <w:pStyle w:val="38"/>
      <w:jc w:val="both"/>
      <w:rPr>
        <w:rFonts w:hint="eastAsia" w:eastAsia="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WZLCZB（L）-2025-04100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23AA74">
    <w:pPr>
      <w:pStyle w:val="38"/>
      <w:pBdr>
        <w:bottom w:val="none" w:color="auto" w:sz="0" w:space="1"/>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839A3F">
    <w:pPr>
      <w:pStyle w:val="38"/>
      <w:pBdr>
        <w:bottom w:val="single" w:color="auto" w:sz="4" w:space="1"/>
      </w:pBdr>
      <w:jc w:val="both"/>
      <w:rPr>
        <w:rFonts w:hint="eastAsia" w:eastAsia="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WZLCZB（L）-2025-04100</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572F75">
    <w:pPr>
      <w:pStyle w:val="38"/>
      <w:pBdr>
        <w:bottom w:val="single" w:color="auto" w:sz="4" w:space="0"/>
      </w:pBdr>
      <w:jc w:val="both"/>
      <w:rPr>
        <w:rFonts w:hint="eastAsia" w:eastAsia="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WZLCZB（L）-2025-04100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D71C98"/>
    <w:multiLevelType w:val="multilevel"/>
    <w:tmpl w:val="FCD71C98"/>
    <w:lvl w:ilvl="0" w:tentative="0">
      <w:start w:val="1"/>
      <w:numFmt w:val="decimal"/>
      <w:suff w:val="space"/>
      <w:lvlText w:val="（%1）"/>
      <w:lvlJc w:val="left"/>
      <w:pPr>
        <w:ind w:left="1957" w:hanging="397"/>
      </w:pPr>
      <w:rPr>
        <w:rFonts w:hint="default" w:ascii="新宋体" w:hAnsi="新宋体" w:eastAsia="新宋体" w:cs="新宋体"/>
        <w:sz w:val="22"/>
        <w:szCs w:val="2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1246D32"/>
    <w:multiLevelType w:val="multilevel"/>
    <w:tmpl w:val="01246D32"/>
    <w:lvl w:ilvl="0" w:tentative="0">
      <w:start w:val="1"/>
      <w:numFmt w:val="decimal"/>
      <w:lvlText w:val="（%1）"/>
      <w:lvlJc w:val="left"/>
      <w:pPr>
        <w:tabs>
          <w:tab w:val="left" w:pos="1287"/>
        </w:tabs>
        <w:ind w:left="964" w:hanging="397"/>
      </w:pPr>
      <w:rPr>
        <w:rFonts w:hint="default" w:ascii="新宋体" w:hAnsi="新宋体" w:eastAsia="新宋体" w:cs="新宋体"/>
        <w:sz w:val="22"/>
        <w:szCs w:val="2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7CEF39C8"/>
    <w:multiLevelType w:val="multilevel"/>
    <w:tmpl w:val="7CEF39C8"/>
    <w:lvl w:ilvl="0" w:tentative="0">
      <w:start w:val="1"/>
      <w:numFmt w:val="decimal"/>
      <w:lvlText w:val="%1."/>
      <w:lvlJc w:val="left"/>
      <w:pPr>
        <w:tabs>
          <w:tab w:val="left" w:pos="567"/>
        </w:tabs>
        <w:ind w:left="567" w:hanging="567"/>
      </w:pPr>
      <w:rPr>
        <w:rFonts w:hint="default" w:ascii="新宋体" w:hAnsi="新宋体" w:eastAsia="新宋体" w:cs="新宋体"/>
        <w:b/>
        <w:i w:val="0"/>
        <w:sz w:val="22"/>
        <w:szCs w:val="22"/>
      </w:rPr>
    </w:lvl>
    <w:lvl w:ilvl="1" w:tentative="0">
      <w:start w:val="1"/>
      <w:numFmt w:val="decimal"/>
      <w:lvlText w:val="%1.%2"/>
      <w:lvlJc w:val="left"/>
      <w:pPr>
        <w:tabs>
          <w:tab w:val="left" w:pos="567"/>
        </w:tabs>
        <w:ind w:left="567" w:hanging="567"/>
      </w:pPr>
      <w:rPr>
        <w:rFonts w:hint="default" w:ascii="新宋体" w:hAnsi="新宋体" w:eastAsia="新宋体" w:cs="新宋体"/>
        <w:b w:val="0"/>
        <w:i w:val="0"/>
        <w:sz w:val="22"/>
        <w:szCs w:val="22"/>
      </w:rPr>
    </w:lvl>
    <w:lvl w:ilvl="2" w:tentative="0">
      <w:start w:val="1"/>
      <w:numFmt w:val="decimal"/>
      <w:lvlText w:val="%1.%2.%3"/>
      <w:lvlJc w:val="left"/>
      <w:pPr>
        <w:tabs>
          <w:tab w:val="left" w:pos="720"/>
        </w:tabs>
        <w:ind w:left="420" w:hanging="420"/>
      </w:pPr>
      <w:rPr>
        <w:rFonts w:hint="eastAsia"/>
      </w:rPr>
    </w:lvl>
    <w:lvl w:ilvl="3" w:tentative="0">
      <w:start w:val="1"/>
      <w:numFmt w:val="decimal"/>
      <w:lvlText w:val="%1.%2.%3.%4"/>
      <w:lvlJc w:val="left"/>
      <w:pPr>
        <w:tabs>
          <w:tab w:val="left" w:pos="420"/>
        </w:tabs>
        <w:ind w:left="420" w:hanging="420"/>
      </w:pPr>
      <w:rPr>
        <w:rFonts w:hint="eastAsia"/>
      </w:rPr>
    </w:lvl>
    <w:lvl w:ilvl="4" w:tentative="0">
      <w:start w:val="1"/>
      <w:numFmt w:val="decimal"/>
      <w:lvlText w:val="%1.%2.%3.%4.%5"/>
      <w:lvlJc w:val="left"/>
      <w:pPr>
        <w:tabs>
          <w:tab w:val="left" w:pos="420"/>
        </w:tabs>
        <w:ind w:left="420" w:hanging="420"/>
      </w:pPr>
      <w:rPr>
        <w:rFonts w:hint="eastAsia"/>
      </w:rPr>
    </w:lvl>
    <w:lvl w:ilvl="5" w:tentative="0">
      <w:start w:val="1"/>
      <w:numFmt w:val="decimal"/>
      <w:lvlText w:val="%1.%2.%3.%4.%5.%6"/>
      <w:lvlJc w:val="left"/>
      <w:pPr>
        <w:tabs>
          <w:tab w:val="left" w:pos="420"/>
        </w:tabs>
        <w:ind w:left="420" w:hanging="420"/>
      </w:pPr>
      <w:rPr>
        <w:rFonts w:hint="eastAsia"/>
      </w:rPr>
    </w:lvl>
    <w:lvl w:ilvl="6" w:tentative="0">
      <w:start w:val="1"/>
      <w:numFmt w:val="decimal"/>
      <w:lvlText w:val="%1.%2.%3.%4.%5.%6.%7"/>
      <w:lvlJc w:val="left"/>
      <w:pPr>
        <w:tabs>
          <w:tab w:val="left" w:pos="420"/>
        </w:tabs>
        <w:ind w:left="420" w:hanging="420"/>
      </w:pPr>
      <w:rPr>
        <w:rFonts w:hint="eastAsia"/>
      </w:rPr>
    </w:lvl>
    <w:lvl w:ilvl="7" w:tentative="0">
      <w:start w:val="1"/>
      <w:numFmt w:val="decimal"/>
      <w:lvlText w:val="%1.%2.%3.%4.%5.%6.%7.%8"/>
      <w:lvlJc w:val="left"/>
      <w:pPr>
        <w:tabs>
          <w:tab w:val="left" w:pos="420"/>
        </w:tabs>
        <w:ind w:left="420" w:hanging="420"/>
      </w:pPr>
      <w:rPr>
        <w:rFonts w:hint="eastAsia"/>
      </w:rPr>
    </w:lvl>
    <w:lvl w:ilvl="8" w:tentative="0">
      <w:start w:val="1"/>
      <w:numFmt w:val="decimal"/>
      <w:lvlText w:val="%1.%2.%3.%4.%5.%6.%7.%8.%9"/>
      <w:lvlJc w:val="left"/>
      <w:pPr>
        <w:tabs>
          <w:tab w:val="left" w:pos="420"/>
        </w:tabs>
        <w:ind w:left="420" w:hanging="420"/>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JlYTVjYmYwZTlkYjdhYjA2YzdkM2U2ZmIwODI4MDcifQ=="/>
  </w:docVars>
  <w:rsids>
    <w:rsidRoot w:val="0023016B"/>
    <w:rsid w:val="00006464"/>
    <w:rsid w:val="00007B69"/>
    <w:rsid w:val="00007E5B"/>
    <w:rsid w:val="000133A7"/>
    <w:rsid w:val="0002703B"/>
    <w:rsid w:val="00040406"/>
    <w:rsid w:val="00045A7B"/>
    <w:rsid w:val="0006674B"/>
    <w:rsid w:val="00073447"/>
    <w:rsid w:val="00085CF1"/>
    <w:rsid w:val="000A3176"/>
    <w:rsid w:val="000B7740"/>
    <w:rsid w:val="000C3156"/>
    <w:rsid w:val="000C343F"/>
    <w:rsid w:val="000E6551"/>
    <w:rsid w:val="000F7425"/>
    <w:rsid w:val="000F785E"/>
    <w:rsid w:val="00114F8F"/>
    <w:rsid w:val="001247D2"/>
    <w:rsid w:val="00133BFE"/>
    <w:rsid w:val="001520E7"/>
    <w:rsid w:val="0016386F"/>
    <w:rsid w:val="001756A6"/>
    <w:rsid w:val="00182B8B"/>
    <w:rsid w:val="00191903"/>
    <w:rsid w:val="00193295"/>
    <w:rsid w:val="001938DB"/>
    <w:rsid w:val="00197D68"/>
    <w:rsid w:val="001A75A0"/>
    <w:rsid w:val="001B5A72"/>
    <w:rsid w:val="001B7475"/>
    <w:rsid w:val="001C04FD"/>
    <w:rsid w:val="001C0F4B"/>
    <w:rsid w:val="001D02EF"/>
    <w:rsid w:val="001E21D7"/>
    <w:rsid w:val="001F0303"/>
    <w:rsid w:val="001F1D02"/>
    <w:rsid w:val="0020501B"/>
    <w:rsid w:val="0023016B"/>
    <w:rsid w:val="0024135E"/>
    <w:rsid w:val="00256D25"/>
    <w:rsid w:val="002671EE"/>
    <w:rsid w:val="002909A4"/>
    <w:rsid w:val="00293114"/>
    <w:rsid w:val="002A79BA"/>
    <w:rsid w:val="002D4AC8"/>
    <w:rsid w:val="002D589D"/>
    <w:rsid w:val="002F482C"/>
    <w:rsid w:val="00300FAF"/>
    <w:rsid w:val="00315973"/>
    <w:rsid w:val="00324956"/>
    <w:rsid w:val="0033783C"/>
    <w:rsid w:val="0036058E"/>
    <w:rsid w:val="00366FA4"/>
    <w:rsid w:val="00373EA4"/>
    <w:rsid w:val="00382A9B"/>
    <w:rsid w:val="0039345C"/>
    <w:rsid w:val="00394956"/>
    <w:rsid w:val="003A253F"/>
    <w:rsid w:val="003A4AC0"/>
    <w:rsid w:val="003A5047"/>
    <w:rsid w:val="003A61BD"/>
    <w:rsid w:val="003B7092"/>
    <w:rsid w:val="003C17E8"/>
    <w:rsid w:val="003C1B8E"/>
    <w:rsid w:val="003C58F4"/>
    <w:rsid w:val="003C5D6A"/>
    <w:rsid w:val="003C7A50"/>
    <w:rsid w:val="003D61E5"/>
    <w:rsid w:val="003E5B8F"/>
    <w:rsid w:val="003F0B48"/>
    <w:rsid w:val="00413731"/>
    <w:rsid w:val="004167B9"/>
    <w:rsid w:val="004259D3"/>
    <w:rsid w:val="004376E4"/>
    <w:rsid w:val="0045252D"/>
    <w:rsid w:val="004755C1"/>
    <w:rsid w:val="004761BF"/>
    <w:rsid w:val="004C2F10"/>
    <w:rsid w:val="004C7355"/>
    <w:rsid w:val="004D4D92"/>
    <w:rsid w:val="004F38A8"/>
    <w:rsid w:val="0050192E"/>
    <w:rsid w:val="00514B33"/>
    <w:rsid w:val="00515EDA"/>
    <w:rsid w:val="0052093C"/>
    <w:rsid w:val="0052303E"/>
    <w:rsid w:val="00553434"/>
    <w:rsid w:val="005552CD"/>
    <w:rsid w:val="00563A88"/>
    <w:rsid w:val="00566E05"/>
    <w:rsid w:val="005A1959"/>
    <w:rsid w:val="005B70F8"/>
    <w:rsid w:val="005D6717"/>
    <w:rsid w:val="005D691C"/>
    <w:rsid w:val="006062E4"/>
    <w:rsid w:val="00607BC3"/>
    <w:rsid w:val="00614721"/>
    <w:rsid w:val="00615EB8"/>
    <w:rsid w:val="00622EBE"/>
    <w:rsid w:val="00646482"/>
    <w:rsid w:val="00663F29"/>
    <w:rsid w:val="00671D76"/>
    <w:rsid w:val="00673D48"/>
    <w:rsid w:val="00682C8D"/>
    <w:rsid w:val="00682CDF"/>
    <w:rsid w:val="00685BCD"/>
    <w:rsid w:val="006C1E10"/>
    <w:rsid w:val="00707C13"/>
    <w:rsid w:val="00725B4D"/>
    <w:rsid w:val="00735D24"/>
    <w:rsid w:val="00736815"/>
    <w:rsid w:val="00736F0B"/>
    <w:rsid w:val="00771B8F"/>
    <w:rsid w:val="0078237D"/>
    <w:rsid w:val="00794A96"/>
    <w:rsid w:val="00796C50"/>
    <w:rsid w:val="007B3A19"/>
    <w:rsid w:val="007B70D7"/>
    <w:rsid w:val="007C4878"/>
    <w:rsid w:val="007D38F4"/>
    <w:rsid w:val="007E657E"/>
    <w:rsid w:val="00814C9C"/>
    <w:rsid w:val="008226D3"/>
    <w:rsid w:val="008314E6"/>
    <w:rsid w:val="00837B0E"/>
    <w:rsid w:val="008908E9"/>
    <w:rsid w:val="008B58FD"/>
    <w:rsid w:val="008B5C6B"/>
    <w:rsid w:val="008C2830"/>
    <w:rsid w:val="008D1115"/>
    <w:rsid w:val="008D1DFF"/>
    <w:rsid w:val="008D2667"/>
    <w:rsid w:val="008D64B4"/>
    <w:rsid w:val="008D74D3"/>
    <w:rsid w:val="008E54EB"/>
    <w:rsid w:val="008E5C50"/>
    <w:rsid w:val="008E5E6E"/>
    <w:rsid w:val="00912DEC"/>
    <w:rsid w:val="009223A7"/>
    <w:rsid w:val="009341B7"/>
    <w:rsid w:val="00936A15"/>
    <w:rsid w:val="00952B6A"/>
    <w:rsid w:val="00967530"/>
    <w:rsid w:val="0097459E"/>
    <w:rsid w:val="009954B6"/>
    <w:rsid w:val="009A7C49"/>
    <w:rsid w:val="009B2623"/>
    <w:rsid w:val="009C5587"/>
    <w:rsid w:val="009D1704"/>
    <w:rsid w:val="00A134AF"/>
    <w:rsid w:val="00A21536"/>
    <w:rsid w:val="00A24236"/>
    <w:rsid w:val="00A26EF5"/>
    <w:rsid w:val="00A8036E"/>
    <w:rsid w:val="00A8362E"/>
    <w:rsid w:val="00A9057C"/>
    <w:rsid w:val="00AA2932"/>
    <w:rsid w:val="00AA35BB"/>
    <w:rsid w:val="00AA3A60"/>
    <w:rsid w:val="00AA6AA6"/>
    <w:rsid w:val="00AC1023"/>
    <w:rsid w:val="00AC19A9"/>
    <w:rsid w:val="00AD00A5"/>
    <w:rsid w:val="00AF0066"/>
    <w:rsid w:val="00AF1028"/>
    <w:rsid w:val="00AF120C"/>
    <w:rsid w:val="00AF2015"/>
    <w:rsid w:val="00B02BF4"/>
    <w:rsid w:val="00B1392D"/>
    <w:rsid w:val="00B77AFF"/>
    <w:rsid w:val="00B8120C"/>
    <w:rsid w:val="00B959B4"/>
    <w:rsid w:val="00BB15BC"/>
    <w:rsid w:val="00BB1858"/>
    <w:rsid w:val="00BB35F7"/>
    <w:rsid w:val="00BB3B7A"/>
    <w:rsid w:val="00BD05C0"/>
    <w:rsid w:val="00BF30EF"/>
    <w:rsid w:val="00BF5765"/>
    <w:rsid w:val="00C22D19"/>
    <w:rsid w:val="00C3468A"/>
    <w:rsid w:val="00C51371"/>
    <w:rsid w:val="00C64900"/>
    <w:rsid w:val="00C71627"/>
    <w:rsid w:val="00C80AD9"/>
    <w:rsid w:val="00C903FF"/>
    <w:rsid w:val="00CA7FEF"/>
    <w:rsid w:val="00CC4E22"/>
    <w:rsid w:val="00CC755F"/>
    <w:rsid w:val="00CC76A3"/>
    <w:rsid w:val="00CD124F"/>
    <w:rsid w:val="00CD68F5"/>
    <w:rsid w:val="00CE6DD8"/>
    <w:rsid w:val="00CE7E72"/>
    <w:rsid w:val="00CF5067"/>
    <w:rsid w:val="00CF5E54"/>
    <w:rsid w:val="00CF7CFF"/>
    <w:rsid w:val="00D00DC8"/>
    <w:rsid w:val="00D06F22"/>
    <w:rsid w:val="00D13234"/>
    <w:rsid w:val="00D238DF"/>
    <w:rsid w:val="00D31CF9"/>
    <w:rsid w:val="00D32D45"/>
    <w:rsid w:val="00D378CA"/>
    <w:rsid w:val="00D55307"/>
    <w:rsid w:val="00D85F60"/>
    <w:rsid w:val="00D94D28"/>
    <w:rsid w:val="00DA0B56"/>
    <w:rsid w:val="00DA252A"/>
    <w:rsid w:val="00DA45FD"/>
    <w:rsid w:val="00DA5511"/>
    <w:rsid w:val="00DA7134"/>
    <w:rsid w:val="00DC01DA"/>
    <w:rsid w:val="00DE6665"/>
    <w:rsid w:val="00DF3740"/>
    <w:rsid w:val="00DF3D70"/>
    <w:rsid w:val="00E07FB7"/>
    <w:rsid w:val="00E15473"/>
    <w:rsid w:val="00E2289D"/>
    <w:rsid w:val="00E24506"/>
    <w:rsid w:val="00E40A4F"/>
    <w:rsid w:val="00E922CE"/>
    <w:rsid w:val="00E94F49"/>
    <w:rsid w:val="00EA49D5"/>
    <w:rsid w:val="00EB30CC"/>
    <w:rsid w:val="00EB602C"/>
    <w:rsid w:val="00EC4972"/>
    <w:rsid w:val="00EE4223"/>
    <w:rsid w:val="00EF170E"/>
    <w:rsid w:val="00EF36EE"/>
    <w:rsid w:val="00EF3DD0"/>
    <w:rsid w:val="00EF6E2E"/>
    <w:rsid w:val="00F02BFE"/>
    <w:rsid w:val="00F25987"/>
    <w:rsid w:val="00F25C44"/>
    <w:rsid w:val="00F37CE6"/>
    <w:rsid w:val="00F52B44"/>
    <w:rsid w:val="00F60BA4"/>
    <w:rsid w:val="00F6186D"/>
    <w:rsid w:val="00F94FFC"/>
    <w:rsid w:val="00FA54A2"/>
    <w:rsid w:val="00FB1B26"/>
    <w:rsid w:val="00FB2E73"/>
    <w:rsid w:val="00FB6B26"/>
    <w:rsid w:val="00FE103E"/>
    <w:rsid w:val="00FF7FAD"/>
    <w:rsid w:val="01021EB0"/>
    <w:rsid w:val="011F0D85"/>
    <w:rsid w:val="01704A7F"/>
    <w:rsid w:val="018467BF"/>
    <w:rsid w:val="01D81374"/>
    <w:rsid w:val="022218C6"/>
    <w:rsid w:val="024B0329"/>
    <w:rsid w:val="024B6CB8"/>
    <w:rsid w:val="0275330C"/>
    <w:rsid w:val="029676F1"/>
    <w:rsid w:val="02AA528C"/>
    <w:rsid w:val="02B02097"/>
    <w:rsid w:val="02D11050"/>
    <w:rsid w:val="02D44EAD"/>
    <w:rsid w:val="02FB7318"/>
    <w:rsid w:val="032E2252"/>
    <w:rsid w:val="03402AA1"/>
    <w:rsid w:val="03A85E0D"/>
    <w:rsid w:val="03DE3D2B"/>
    <w:rsid w:val="03F34262"/>
    <w:rsid w:val="03FD6292"/>
    <w:rsid w:val="04080D1B"/>
    <w:rsid w:val="0439239E"/>
    <w:rsid w:val="045C452F"/>
    <w:rsid w:val="04652BC1"/>
    <w:rsid w:val="047C4CC6"/>
    <w:rsid w:val="04994F9B"/>
    <w:rsid w:val="04A92D3F"/>
    <w:rsid w:val="04B77D50"/>
    <w:rsid w:val="04D51825"/>
    <w:rsid w:val="04F00233"/>
    <w:rsid w:val="05427BAF"/>
    <w:rsid w:val="05F568B9"/>
    <w:rsid w:val="0607005F"/>
    <w:rsid w:val="068A1C09"/>
    <w:rsid w:val="068D4F3A"/>
    <w:rsid w:val="06C21F22"/>
    <w:rsid w:val="06DD1F3F"/>
    <w:rsid w:val="06F4162B"/>
    <w:rsid w:val="06FF67F7"/>
    <w:rsid w:val="07190E1E"/>
    <w:rsid w:val="083111A7"/>
    <w:rsid w:val="084B7576"/>
    <w:rsid w:val="08602DD3"/>
    <w:rsid w:val="08882FDF"/>
    <w:rsid w:val="08C47176"/>
    <w:rsid w:val="08C806A7"/>
    <w:rsid w:val="08FB50A9"/>
    <w:rsid w:val="097D163D"/>
    <w:rsid w:val="09952584"/>
    <w:rsid w:val="09A8678D"/>
    <w:rsid w:val="09B92103"/>
    <w:rsid w:val="09BA0783"/>
    <w:rsid w:val="09D302BE"/>
    <w:rsid w:val="09D316C9"/>
    <w:rsid w:val="0A551B3B"/>
    <w:rsid w:val="0A6C3303"/>
    <w:rsid w:val="0A725BE7"/>
    <w:rsid w:val="0A8E79C4"/>
    <w:rsid w:val="0ACB0384"/>
    <w:rsid w:val="0AD450BF"/>
    <w:rsid w:val="0AED1DC7"/>
    <w:rsid w:val="0B0D7095"/>
    <w:rsid w:val="0B152972"/>
    <w:rsid w:val="0B4062C1"/>
    <w:rsid w:val="0B477D2E"/>
    <w:rsid w:val="0B513A86"/>
    <w:rsid w:val="0BC72D02"/>
    <w:rsid w:val="0C213118"/>
    <w:rsid w:val="0C637445"/>
    <w:rsid w:val="0C730CF8"/>
    <w:rsid w:val="0C73501E"/>
    <w:rsid w:val="0C7D3591"/>
    <w:rsid w:val="0C8560BE"/>
    <w:rsid w:val="0CAB711C"/>
    <w:rsid w:val="0CCA7209"/>
    <w:rsid w:val="0CEB522F"/>
    <w:rsid w:val="0D1368B1"/>
    <w:rsid w:val="0D3137EF"/>
    <w:rsid w:val="0D4C1F43"/>
    <w:rsid w:val="0D7B104B"/>
    <w:rsid w:val="0DA1439B"/>
    <w:rsid w:val="0DBC2656"/>
    <w:rsid w:val="0DEE1D9C"/>
    <w:rsid w:val="0DF60623"/>
    <w:rsid w:val="0EA31302"/>
    <w:rsid w:val="0EC7671B"/>
    <w:rsid w:val="0EFC5C18"/>
    <w:rsid w:val="0F262DDB"/>
    <w:rsid w:val="0F2C4641"/>
    <w:rsid w:val="0F3C1D3E"/>
    <w:rsid w:val="0F8965FD"/>
    <w:rsid w:val="0FA934DA"/>
    <w:rsid w:val="0FAC6989"/>
    <w:rsid w:val="0FE973B7"/>
    <w:rsid w:val="0FF565C1"/>
    <w:rsid w:val="10277CAB"/>
    <w:rsid w:val="103D687A"/>
    <w:rsid w:val="104105CC"/>
    <w:rsid w:val="10652C78"/>
    <w:rsid w:val="108F2E02"/>
    <w:rsid w:val="10F1215E"/>
    <w:rsid w:val="110E73FF"/>
    <w:rsid w:val="11AB289C"/>
    <w:rsid w:val="11AE3567"/>
    <w:rsid w:val="121D3373"/>
    <w:rsid w:val="122C65DA"/>
    <w:rsid w:val="12373D41"/>
    <w:rsid w:val="125C7B7B"/>
    <w:rsid w:val="126B2156"/>
    <w:rsid w:val="12901575"/>
    <w:rsid w:val="12C3021C"/>
    <w:rsid w:val="133149E8"/>
    <w:rsid w:val="1401770D"/>
    <w:rsid w:val="140E1B28"/>
    <w:rsid w:val="140F6C16"/>
    <w:rsid w:val="145D78A5"/>
    <w:rsid w:val="14A12D99"/>
    <w:rsid w:val="14B042BE"/>
    <w:rsid w:val="14B5157D"/>
    <w:rsid w:val="157A1950"/>
    <w:rsid w:val="15973A17"/>
    <w:rsid w:val="159B37AB"/>
    <w:rsid w:val="159C38EA"/>
    <w:rsid w:val="15BC58B2"/>
    <w:rsid w:val="15D849FF"/>
    <w:rsid w:val="15DA6115"/>
    <w:rsid w:val="15EC6B3C"/>
    <w:rsid w:val="162F4FD4"/>
    <w:rsid w:val="1633675E"/>
    <w:rsid w:val="163D2DB9"/>
    <w:rsid w:val="16600F53"/>
    <w:rsid w:val="16651C1E"/>
    <w:rsid w:val="16A15984"/>
    <w:rsid w:val="16C1540F"/>
    <w:rsid w:val="16E61420"/>
    <w:rsid w:val="16E94DDC"/>
    <w:rsid w:val="17612EF5"/>
    <w:rsid w:val="17804127"/>
    <w:rsid w:val="17B45B78"/>
    <w:rsid w:val="180E12C2"/>
    <w:rsid w:val="18641D4C"/>
    <w:rsid w:val="1885055E"/>
    <w:rsid w:val="18A706B9"/>
    <w:rsid w:val="18A7619B"/>
    <w:rsid w:val="18BB10D3"/>
    <w:rsid w:val="18CF3A5C"/>
    <w:rsid w:val="18D24270"/>
    <w:rsid w:val="18F17B89"/>
    <w:rsid w:val="198D0354"/>
    <w:rsid w:val="199B4983"/>
    <w:rsid w:val="1A0C2E14"/>
    <w:rsid w:val="1A814B7A"/>
    <w:rsid w:val="1A991FD0"/>
    <w:rsid w:val="1AA80E44"/>
    <w:rsid w:val="1AB73CA3"/>
    <w:rsid w:val="1AF72B28"/>
    <w:rsid w:val="1B253D72"/>
    <w:rsid w:val="1B2F3193"/>
    <w:rsid w:val="1B4733C9"/>
    <w:rsid w:val="1B684130"/>
    <w:rsid w:val="1BD913F7"/>
    <w:rsid w:val="1BED699C"/>
    <w:rsid w:val="1BEF11E3"/>
    <w:rsid w:val="1C0C613F"/>
    <w:rsid w:val="1C1756AC"/>
    <w:rsid w:val="1C7C085F"/>
    <w:rsid w:val="1CAD0666"/>
    <w:rsid w:val="1CC50D37"/>
    <w:rsid w:val="1D3C6CD5"/>
    <w:rsid w:val="1D48305E"/>
    <w:rsid w:val="1D506A90"/>
    <w:rsid w:val="1D640462"/>
    <w:rsid w:val="1D6D17B1"/>
    <w:rsid w:val="1D8E1E10"/>
    <w:rsid w:val="1DB46A8A"/>
    <w:rsid w:val="1DC7324E"/>
    <w:rsid w:val="1DF65C9E"/>
    <w:rsid w:val="1E0076D6"/>
    <w:rsid w:val="1E3845A0"/>
    <w:rsid w:val="1E464A9C"/>
    <w:rsid w:val="1E5F086A"/>
    <w:rsid w:val="1EB46E26"/>
    <w:rsid w:val="1EFE38A4"/>
    <w:rsid w:val="1F0F6FBE"/>
    <w:rsid w:val="1F17285B"/>
    <w:rsid w:val="1F483A0F"/>
    <w:rsid w:val="1F5E70A8"/>
    <w:rsid w:val="1FB02549"/>
    <w:rsid w:val="1FBC6E36"/>
    <w:rsid w:val="1FF94CC2"/>
    <w:rsid w:val="203B1E13"/>
    <w:rsid w:val="203D19AC"/>
    <w:rsid w:val="209005D6"/>
    <w:rsid w:val="20A830E7"/>
    <w:rsid w:val="20AB51F5"/>
    <w:rsid w:val="20B73C37"/>
    <w:rsid w:val="21103347"/>
    <w:rsid w:val="217B7B9D"/>
    <w:rsid w:val="21F360C6"/>
    <w:rsid w:val="223B6A3D"/>
    <w:rsid w:val="224B7893"/>
    <w:rsid w:val="22561186"/>
    <w:rsid w:val="22C217BE"/>
    <w:rsid w:val="2308410C"/>
    <w:rsid w:val="23917896"/>
    <w:rsid w:val="23960FD3"/>
    <w:rsid w:val="239B452F"/>
    <w:rsid w:val="23BC27F0"/>
    <w:rsid w:val="24001B1B"/>
    <w:rsid w:val="240F77C1"/>
    <w:rsid w:val="24295E1F"/>
    <w:rsid w:val="242D14B2"/>
    <w:rsid w:val="246175D8"/>
    <w:rsid w:val="2479598D"/>
    <w:rsid w:val="24CD44AE"/>
    <w:rsid w:val="24DF7509"/>
    <w:rsid w:val="25450E89"/>
    <w:rsid w:val="255C7B53"/>
    <w:rsid w:val="256B6A23"/>
    <w:rsid w:val="2575308F"/>
    <w:rsid w:val="25CD5782"/>
    <w:rsid w:val="25D424BD"/>
    <w:rsid w:val="25EE0703"/>
    <w:rsid w:val="260A4302"/>
    <w:rsid w:val="267D4943"/>
    <w:rsid w:val="2680333D"/>
    <w:rsid w:val="26960A00"/>
    <w:rsid w:val="26971450"/>
    <w:rsid w:val="26C03072"/>
    <w:rsid w:val="27454D84"/>
    <w:rsid w:val="277D55DC"/>
    <w:rsid w:val="277E328A"/>
    <w:rsid w:val="27A96649"/>
    <w:rsid w:val="27BA714D"/>
    <w:rsid w:val="27CB6172"/>
    <w:rsid w:val="27CE4F02"/>
    <w:rsid w:val="27F7002C"/>
    <w:rsid w:val="27FE3662"/>
    <w:rsid w:val="28033380"/>
    <w:rsid w:val="282A596C"/>
    <w:rsid w:val="283D7834"/>
    <w:rsid w:val="288D4D37"/>
    <w:rsid w:val="289934D7"/>
    <w:rsid w:val="294B4C19"/>
    <w:rsid w:val="29511C30"/>
    <w:rsid w:val="299243E8"/>
    <w:rsid w:val="29A60AFD"/>
    <w:rsid w:val="2A39707D"/>
    <w:rsid w:val="2A3F511B"/>
    <w:rsid w:val="2A431EEC"/>
    <w:rsid w:val="2A6B7958"/>
    <w:rsid w:val="2A7E22A8"/>
    <w:rsid w:val="2AA4120E"/>
    <w:rsid w:val="2AA52D76"/>
    <w:rsid w:val="2ABE533E"/>
    <w:rsid w:val="2ACA31E0"/>
    <w:rsid w:val="2ACE1611"/>
    <w:rsid w:val="2AD307C7"/>
    <w:rsid w:val="2B1B43AE"/>
    <w:rsid w:val="2B355250"/>
    <w:rsid w:val="2B37027E"/>
    <w:rsid w:val="2B750A9F"/>
    <w:rsid w:val="2B896D21"/>
    <w:rsid w:val="2BAF7B59"/>
    <w:rsid w:val="2BD80E5D"/>
    <w:rsid w:val="2C295FB8"/>
    <w:rsid w:val="2CAC2C34"/>
    <w:rsid w:val="2CDA0C05"/>
    <w:rsid w:val="2CF25F4F"/>
    <w:rsid w:val="2D1D3AEC"/>
    <w:rsid w:val="2D265BF9"/>
    <w:rsid w:val="2D525590"/>
    <w:rsid w:val="2D661C74"/>
    <w:rsid w:val="2D906F26"/>
    <w:rsid w:val="2DA532B1"/>
    <w:rsid w:val="2DA614F1"/>
    <w:rsid w:val="2DAA1BA1"/>
    <w:rsid w:val="2DC941D1"/>
    <w:rsid w:val="2DD523FE"/>
    <w:rsid w:val="2E363B43"/>
    <w:rsid w:val="2E7F2198"/>
    <w:rsid w:val="2EC213B0"/>
    <w:rsid w:val="2F09775A"/>
    <w:rsid w:val="2F4A7192"/>
    <w:rsid w:val="2F523172"/>
    <w:rsid w:val="2F854E58"/>
    <w:rsid w:val="2FAA2B11"/>
    <w:rsid w:val="2FCC53E6"/>
    <w:rsid w:val="2FD80C3D"/>
    <w:rsid w:val="304C3F78"/>
    <w:rsid w:val="30557096"/>
    <w:rsid w:val="309054B1"/>
    <w:rsid w:val="30EF2FA5"/>
    <w:rsid w:val="30F12983"/>
    <w:rsid w:val="31646007"/>
    <w:rsid w:val="31767D37"/>
    <w:rsid w:val="31AE4612"/>
    <w:rsid w:val="31BC75D5"/>
    <w:rsid w:val="31E7649F"/>
    <w:rsid w:val="31F77001"/>
    <w:rsid w:val="322F5237"/>
    <w:rsid w:val="323A4C20"/>
    <w:rsid w:val="32D70AFE"/>
    <w:rsid w:val="32EA2765"/>
    <w:rsid w:val="33060493"/>
    <w:rsid w:val="33B47B96"/>
    <w:rsid w:val="342D7A0D"/>
    <w:rsid w:val="345F1222"/>
    <w:rsid w:val="34605E94"/>
    <w:rsid w:val="346B04E7"/>
    <w:rsid w:val="34990F0F"/>
    <w:rsid w:val="34D605B7"/>
    <w:rsid w:val="35104FE2"/>
    <w:rsid w:val="35206B86"/>
    <w:rsid w:val="354B3256"/>
    <w:rsid w:val="35541EFF"/>
    <w:rsid w:val="356C07CF"/>
    <w:rsid w:val="35D91F1A"/>
    <w:rsid w:val="35F1444A"/>
    <w:rsid w:val="35FC3A4A"/>
    <w:rsid w:val="36891D85"/>
    <w:rsid w:val="36907DD2"/>
    <w:rsid w:val="36B56E4C"/>
    <w:rsid w:val="36E64463"/>
    <w:rsid w:val="374E32B6"/>
    <w:rsid w:val="376A0D68"/>
    <w:rsid w:val="37FF42EC"/>
    <w:rsid w:val="38462177"/>
    <w:rsid w:val="387354CF"/>
    <w:rsid w:val="38900237"/>
    <w:rsid w:val="389A0D65"/>
    <w:rsid w:val="38B81160"/>
    <w:rsid w:val="38C60756"/>
    <w:rsid w:val="3905525C"/>
    <w:rsid w:val="392E7281"/>
    <w:rsid w:val="3949087C"/>
    <w:rsid w:val="39E62724"/>
    <w:rsid w:val="39E700E2"/>
    <w:rsid w:val="39F5707E"/>
    <w:rsid w:val="39F71CA4"/>
    <w:rsid w:val="3A3D2B70"/>
    <w:rsid w:val="3A51759A"/>
    <w:rsid w:val="3A544B2E"/>
    <w:rsid w:val="3A5C4DDC"/>
    <w:rsid w:val="3AA848D5"/>
    <w:rsid w:val="3AC91C45"/>
    <w:rsid w:val="3B084060"/>
    <w:rsid w:val="3B475BB1"/>
    <w:rsid w:val="3B67578F"/>
    <w:rsid w:val="3B694952"/>
    <w:rsid w:val="3BA349BC"/>
    <w:rsid w:val="3BF822C3"/>
    <w:rsid w:val="3C1856FB"/>
    <w:rsid w:val="3C4F5764"/>
    <w:rsid w:val="3C500205"/>
    <w:rsid w:val="3C657396"/>
    <w:rsid w:val="3CB40BDD"/>
    <w:rsid w:val="3CF84967"/>
    <w:rsid w:val="3D2E3547"/>
    <w:rsid w:val="3D611EB1"/>
    <w:rsid w:val="3D632BAB"/>
    <w:rsid w:val="3D8738B6"/>
    <w:rsid w:val="3D934583"/>
    <w:rsid w:val="3DAD6184"/>
    <w:rsid w:val="3DBF00CF"/>
    <w:rsid w:val="3DD73B01"/>
    <w:rsid w:val="3DEE608D"/>
    <w:rsid w:val="3E150F77"/>
    <w:rsid w:val="3E7154C8"/>
    <w:rsid w:val="3EB9409B"/>
    <w:rsid w:val="3ECA6C84"/>
    <w:rsid w:val="3F413AD3"/>
    <w:rsid w:val="3F984734"/>
    <w:rsid w:val="400408B6"/>
    <w:rsid w:val="402724E9"/>
    <w:rsid w:val="40AA52F7"/>
    <w:rsid w:val="410C4E37"/>
    <w:rsid w:val="413B5C69"/>
    <w:rsid w:val="41546829"/>
    <w:rsid w:val="41C837BC"/>
    <w:rsid w:val="42144874"/>
    <w:rsid w:val="421D2A6F"/>
    <w:rsid w:val="42AC2E27"/>
    <w:rsid w:val="42C122FD"/>
    <w:rsid w:val="42D9753D"/>
    <w:rsid w:val="42F05C48"/>
    <w:rsid w:val="42F16DD6"/>
    <w:rsid w:val="43457143"/>
    <w:rsid w:val="43466B0C"/>
    <w:rsid w:val="436774DB"/>
    <w:rsid w:val="43A41D4E"/>
    <w:rsid w:val="43BB670A"/>
    <w:rsid w:val="43E87A0C"/>
    <w:rsid w:val="44016CC2"/>
    <w:rsid w:val="44934894"/>
    <w:rsid w:val="4525781D"/>
    <w:rsid w:val="45477EF9"/>
    <w:rsid w:val="458B7D93"/>
    <w:rsid w:val="45B70E77"/>
    <w:rsid w:val="45D26FE5"/>
    <w:rsid w:val="460C47E4"/>
    <w:rsid w:val="462C1386"/>
    <w:rsid w:val="468A0E78"/>
    <w:rsid w:val="46BC6D88"/>
    <w:rsid w:val="46D203EE"/>
    <w:rsid w:val="46FD5C4E"/>
    <w:rsid w:val="4773076D"/>
    <w:rsid w:val="484826DA"/>
    <w:rsid w:val="484F3DFE"/>
    <w:rsid w:val="485305FB"/>
    <w:rsid w:val="486C0E54"/>
    <w:rsid w:val="486D4E21"/>
    <w:rsid w:val="487424BD"/>
    <w:rsid w:val="488349FD"/>
    <w:rsid w:val="48876C0F"/>
    <w:rsid w:val="49194FB0"/>
    <w:rsid w:val="492E03F5"/>
    <w:rsid w:val="494712E2"/>
    <w:rsid w:val="494F0DE6"/>
    <w:rsid w:val="49677439"/>
    <w:rsid w:val="49720E6F"/>
    <w:rsid w:val="4980390C"/>
    <w:rsid w:val="499254E1"/>
    <w:rsid w:val="49A52B1C"/>
    <w:rsid w:val="49D55F26"/>
    <w:rsid w:val="49F025E3"/>
    <w:rsid w:val="4A240C73"/>
    <w:rsid w:val="4A28749A"/>
    <w:rsid w:val="4B5F6B89"/>
    <w:rsid w:val="4B766E63"/>
    <w:rsid w:val="4B7F31BF"/>
    <w:rsid w:val="4B840262"/>
    <w:rsid w:val="4BFF416F"/>
    <w:rsid w:val="4C0B7A5E"/>
    <w:rsid w:val="4C1E4213"/>
    <w:rsid w:val="4C3115BF"/>
    <w:rsid w:val="4C612A6B"/>
    <w:rsid w:val="4C971347"/>
    <w:rsid w:val="4CE87AB1"/>
    <w:rsid w:val="4CEF5BAF"/>
    <w:rsid w:val="4D2A4B20"/>
    <w:rsid w:val="4D482624"/>
    <w:rsid w:val="4DA445A7"/>
    <w:rsid w:val="4DB342B8"/>
    <w:rsid w:val="4DE63818"/>
    <w:rsid w:val="4E1231D9"/>
    <w:rsid w:val="4E2E6DAB"/>
    <w:rsid w:val="4E2F69BB"/>
    <w:rsid w:val="4E72485E"/>
    <w:rsid w:val="4E7F59C6"/>
    <w:rsid w:val="4E8A4880"/>
    <w:rsid w:val="4E927B13"/>
    <w:rsid w:val="4EA132BF"/>
    <w:rsid w:val="4F45117A"/>
    <w:rsid w:val="4F515808"/>
    <w:rsid w:val="5009083C"/>
    <w:rsid w:val="50416802"/>
    <w:rsid w:val="5094118C"/>
    <w:rsid w:val="509829D7"/>
    <w:rsid w:val="50A44866"/>
    <w:rsid w:val="50EF4A26"/>
    <w:rsid w:val="51060E5C"/>
    <w:rsid w:val="511B0D44"/>
    <w:rsid w:val="514227A7"/>
    <w:rsid w:val="51BC2720"/>
    <w:rsid w:val="52067844"/>
    <w:rsid w:val="520A3121"/>
    <w:rsid w:val="521A2910"/>
    <w:rsid w:val="521D22F0"/>
    <w:rsid w:val="523D381C"/>
    <w:rsid w:val="52BB67CE"/>
    <w:rsid w:val="52BD1720"/>
    <w:rsid w:val="53740BBC"/>
    <w:rsid w:val="53995D1F"/>
    <w:rsid w:val="53A40EB9"/>
    <w:rsid w:val="53C14784"/>
    <w:rsid w:val="54037195"/>
    <w:rsid w:val="54273E81"/>
    <w:rsid w:val="54334CBB"/>
    <w:rsid w:val="54592004"/>
    <w:rsid w:val="545A4B8F"/>
    <w:rsid w:val="54887C02"/>
    <w:rsid w:val="54AE19CD"/>
    <w:rsid w:val="54EF4893"/>
    <w:rsid w:val="54F9100E"/>
    <w:rsid w:val="55096C5B"/>
    <w:rsid w:val="552706C4"/>
    <w:rsid w:val="557F1285"/>
    <w:rsid w:val="55953943"/>
    <w:rsid w:val="559F20CE"/>
    <w:rsid w:val="55A72FAC"/>
    <w:rsid w:val="55FD3BFE"/>
    <w:rsid w:val="56132851"/>
    <w:rsid w:val="562F526F"/>
    <w:rsid w:val="5631506E"/>
    <w:rsid w:val="565A6D84"/>
    <w:rsid w:val="567B272D"/>
    <w:rsid w:val="56836AD2"/>
    <w:rsid w:val="5697739D"/>
    <w:rsid w:val="56A90DB6"/>
    <w:rsid w:val="56CF72A8"/>
    <w:rsid w:val="56D402F0"/>
    <w:rsid w:val="56DD258D"/>
    <w:rsid w:val="56E1071C"/>
    <w:rsid w:val="57164557"/>
    <w:rsid w:val="57622118"/>
    <w:rsid w:val="579E5581"/>
    <w:rsid w:val="57A6528B"/>
    <w:rsid w:val="58592125"/>
    <w:rsid w:val="589472C1"/>
    <w:rsid w:val="58C16652"/>
    <w:rsid w:val="58E4719A"/>
    <w:rsid w:val="591F0718"/>
    <w:rsid w:val="59267244"/>
    <w:rsid w:val="594744AD"/>
    <w:rsid w:val="59650CB5"/>
    <w:rsid w:val="597109B8"/>
    <w:rsid w:val="59AF294E"/>
    <w:rsid w:val="59B612DD"/>
    <w:rsid w:val="59B6233E"/>
    <w:rsid w:val="59C12DE3"/>
    <w:rsid w:val="5A044EF9"/>
    <w:rsid w:val="5A185214"/>
    <w:rsid w:val="5A3323CB"/>
    <w:rsid w:val="5AC13BD8"/>
    <w:rsid w:val="5B5A3F8B"/>
    <w:rsid w:val="5BB86BB2"/>
    <w:rsid w:val="5C3C0423"/>
    <w:rsid w:val="5C4B3DBA"/>
    <w:rsid w:val="5C6C4B26"/>
    <w:rsid w:val="5C807259"/>
    <w:rsid w:val="5C886996"/>
    <w:rsid w:val="5C9A4E86"/>
    <w:rsid w:val="5CA57574"/>
    <w:rsid w:val="5CC5220F"/>
    <w:rsid w:val="5D1C02FB"/>
    <w:rsid w:val="5D3D79E3"/>
    <w:rsid w:val="5D447851"/>
    <w:rsid w:val="5D6F7B1B"/>
    <w:rsid w:val="5DE35A26"/>
    <w:rsid w:val="5DF5602D"/>
    <w:rsid w:val="5E0019CA"/>
    <w:rsid w:val="5E3E33BB"/>
    <w:rsid w:val="5E4C3A15"/>
    <w:rsid w:val="5E5752D5"/>
    <w:rsid w:val="5E7A402D"/>
    <w:rsid w:val="5E91246B"/>
    <w:rsid w:val="5F480163"/>
    <w:rsid w:val="5F4F16DD"/>
    <w:rsid w:val="5F992E95"/>
    <w:rsid w:val="5FBE66E9"/>
    <w:rsid w:val="5FCC3ACA"/>
    <w:rsid w:val="5FCF323C"/>
    <w:rsid w:val="5FE37DB8"/>
    <w:rsid w:val="60376714"/>
    <w:rsid w:val="60483AFC"/>
    <w:rsid w:val="606773DD"/>
    <w:rsid w:val="612365C7"/>
    <w:rsid w:val="61361729"/>
    <w:rsid w:val="615407BE"/>
    <w:rsid w:val="6179123D"/>
    <w:rsid w:val="627357E6"/>
    <w:rsid w:val="6292559B"/>
    <w:rsid w:val="62B7763A"/>
    <w:rsid w:val="6341497A"/>
    <w:rsid w:val="63430BA8"/>
    <w:rsid w:val="635051A2"/>
    <w:rsid w:val="63857C4A"/>
    <w:rsid w:val="63F576AD"/>
    <w:rsid w:val="64905204"/>
    <w:rsid w:val="64D67DF0"/>
    <w:rsid w:val="65030035"/>
    <w:rsid w:val="6506405C"/>
    <w:rsid w:val="657D2B9C"/>
    <w:rsid w:val="65A767FC"/>
    <w:rsid w:val="65C3404D"/>
    <w:rsid w:val="65C71AE1"/>
    <w:rsid w:val="661C5DBB"/>
    <w:rsid w:val="663A296C"/>
    <w:rsid w:val="6671225B"/>
    <w:rsid w:val="667E2813"/>
    <w:rsid w:val="6711452F"/>
    <w:rsid w:val="6796375D"/>
    <w:rsid w:val="68402390"/>
    <w:rsid w:val="68E26FD4"/>
    <w:rsid w:val="69031ABE"/>
    <w:rsid w:val="692142F9"/>
    <w:rsid w:val="69744B3A"/>
    <w:rsid w:val="698E75CC"/>
    <w:rsid w:val="69A25058"/>
    <w:rsid w:val="69A32A9D"/>
    <w:rsid w:val="69E9781D"/>
    <w:rsid w:val="69F2108A"/>
    <w:rsid w:val="6A4267FB"/>
    <w:rsid w:val="6A490DD5"/>
    <w:rsid w:val="6A64025D"/>
    <w:rsid w:val="6AB153D5"/>
    <w:rsid w:val="6AE377ED"/>
    <w:rsid w:val="6AEB08BE"/>
    <w:rsid w:val="6B1B1EA9"/>
    <w:rsid w:val="6B2761A0"/>
    <w:rsid w:val="6B60552D"/>
    <w:rsid w:val="6B6E08BB"/>
    <w:rsid w:val="6BA27C93"/>
    <w:rsid w:val="6BAB0E82"/>
    <w:rsid w:val="6BCA7305"/>
    <w:rsid w:val="6BD85E8F"/>
    <w:rsid w:val="6BD940E2"/>
    <w:rsid w:val="6BEC2DFF"/>
    <w:rsid w:val="6C2942A7"/>
    <w:rsid w:val="6CA25D5C"/>
    <w:rsid w:val="6CCE4C58"/>
    <w:rsid w:val="6CE47B9F"/>
    <w:rsid w:val="6D1E3C1B"/>
    <w:rsid w:val="6D1E509F"/>
    <w:rsid w:val="6D1E5D55"/>
    <w:rsid w:val="6D3F5B16"/>
    <w:rsid w:val="6D680F6E"/>
    <w:rsid w:val="6DC215AC"/>
    <w:rsid w:val="6DD16EDF"/>
    <w:rsid w:val="6DD469CF"/>
    <w:rsid w:val="6DE42FBF"/>
    <w:rsid w:val="6DF73CE2"/>
    <w:rsid w:val="6E723AFD"/>
    <w:rsid w:val="6E804EFD"/>
    <w:rsid w:val="6EC32208"/>
    <w:rsid w:val="6F5F4920"/>
    <w:rsid w:val="6F812F6E"/>
    <w:rsid w:val="6F934ECC"/>
    <w:rsid w:val="6FAB24D1"/>
    <w:rsid w:val="6FD97E6B"/>
    <w:rsid w:val="700176AF"/>
    <w:rsid w:val="70735EBF"/>
    <w:rsid w:val="708E4896"/>
    <w:rsid w:val="71426B87"/>
    <w:rsid w:val="72276A6D"/>
    <w:rsid w:val="725A1874"/>
    <w:rsid w:val="72774E61"/>
    <w:rsid w:val="72E82ED6"/>
    <w:rsid w:val="72EF1801"/>
    <w:rsid w:val="72FF6DC6"/>
    <w:rsid w:val="734A4B7B"/>
    <w:rsid w:val="735C30B3"/>
    <w:rsid w:val="73C635B0"/>
    <w:rsid w:val="73DB4062"/>
    <w:rsid w:val="74047753"/>
    <w:rsid w:val="7425388F"/>
    <w:rsid w:val="74255271"/>
    <w:rsid w:val="74290309"/>
    <w:rsid w:val="745D47BE"/>
    <w:rsid w:val="747C2A00"/>
    <w:rsid w:val="74B27896"/>
    <w:rsid w:val="74D80B53"/>
    <w:rsid w:val="74DE1933"/>
    <w:rsid w:val="75001B03"/>
    <w:rsid w:val="75191F8F"/>
    <w:rsid w:val="75555A8B"/>
    <w:rsid w:val="75B34F60"/>
    <w:rsid w:val="76181D9E"/>
    <w:rsid w:val="764D68B4"/>
    <w:rsid w:val="7661289E"/>
    <w:rsid w:val="76A10439"/>
    <w:rsid w:val="76A831B8"/>
    <w:rsid w:val="76AB7DAF"/>
    <w:rsid w:val="77091992"/>
    <w:rsid w:val="7735702F"/>
    <w:rsid w:val="774724E4"/>
    <w:rsid w:val="779104F2"/>
    <w:rsid w:val="77BA035C"/>
    <w:rsid w:val="77ED2709"/>
    <w:rsid w:val="77FB7E44"/>
    <w:rsid w:val="784C0892"/>
    <w:rsid w:val="786566A4"/>
    <w:rsid w:val="79AF40E3"/>
    <w:rsid w:val="79D97CE5"/>
    <w:rsid w:val="7A2554AA"/>
    <w:rsid w:val="7A2D2774"/>
    <w:rsid w:val="7A310FEF"/>
    <w:rsid w:val="7A3B26CF"/>
    <w:rsid w:val="7A8D5C21"/>
    <w:rsid w:val="7AB85DB5"/>
    <w:rsid w:val="7B3D7E48"/>
    <w:rsid w:val="7B857465"/>
    <w:rsid w:val="7B8A2CFE"/>
    <w:rsid w:val="7B923492"/>
    <w:rsid w:val="7BAE633F"/>
    <w:rsid w:val="7BD51A34"/>
    <w:rsid w:val="7C692D19"/>
    <w:rsid w:val="7CA31497"/>
    <w:rsid w:val="7CEE2903"/>
    <w:rsid w:val="7D0E6639"/>
    <w:rsid w:val="7D5D39EA"/>
    <w:rsid w:val="7DB52956"/>
    <w:rsid w:val="7E6D4EC2"/>
    <w:rsid w:val="7E971F26"/>
    <w:rsid w:val="7E9755A6"/>
    <w:rsid w:val="7E9867F5"/>
    <w:rsid w:val="7EC94625"/>
    <w:rsid w:val="7F40036D"/>
    <w:rsid w:val="7F4D1EA4"/>
    <w:rsid w:val="7F9E1F41"/>
    <w:rsid w:val="7FBC51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136"/>
    <w:autoRedefine/>
    <w:qFormat/>
    <w:uiPriority w:val="0"/>
    <w:pPr>
      <w:keepNext/>
      <w:jc w:val="center"/>
      <w:outlineLvl w:val="0"/>
    </w:pPr>
    <w:rPr>
      <w:rFonts w:eastAsia="黑体"/>
      <w:b/>
      <w:sz w:val="32"/>
      <w:szCs w:val="20"/>
    </w:rPr>
  </w:style>
  <w:style w:type="paragraph" w:styleId="4">
    <w:name w:val="heading 2"/>
    <w:basedOn w:val="1"/>
    <w:next w:val="1"/>
    <w:link w:val="185"/>
    <w:autoRedefine/>
    <w:qFormat/>
    <w:uiPriority w:val="0"/>
    <w:pPr>
      <w:keepNext/>
      <w:outlineLvl w:val="1"/>
    </w:pPr>
    <w:rPr>
      <w:rFonts w:ascii="仿宋_GB2312"/>
      <w:b/>
      <w:sz w:val="28"/>
      <w:szCs w:val="32"/>
    </w:rPr>
  </w:style>
  <w:style w:type="paragraph" w:styleId="5">
    <w:name w:val="heading 3"/>
    <w:basedOn w:val="1"/>
    <w:next w:val="1"/>
    <w:link w:val="105"/>
    <w:autoRedefine/>
    <w:qFormat/>
    <w:uiPriority w:val="0"/>
    <w:pPr>
      <w:keepNext/>
      <w:keepLines/>
      <w:spacing w:line="540" w:lineRule="atLeast"/>
      <w:outlineLvl w:val="2"/>
    </w:pPr>
    <w:rPr>
      <w:rFonts w:eastAsia="黑体"/>
      <w:b/>
      <w:sz w:val="28"/>
      <w:szCs w:val="20"/>
    </w:rPr>
  </w:style>
  <w:style w:type="paragraph" w:styleId="6">
    <w:name w:val="heading 4"/>
    <w:basedOn w:val="1"/>
    <w:next w:val="1"/>
    <w:link w:val="201"/>
    <w:autoRedefine/>
    <w:qFormat/>
    <w:uiPriority w:val="0"/>
    <w:pPr>
      <w:keepNext/>
      <w:keepLines/>
      <w:spacing w:line="540" w:lineRule="atLeast"/>
      <w:outlineLvl w:val="3"/>
    </w:pPr>
    <w:rPr>
      <w:sz w:val="28"/>
      <w:szCs w:val="28"/>
    </w:rPr>
  </w:style>
  <w:style w:type="paragraph" w:styleId="7">
    <w:name w:val="heading 5"/>
    <w:basedOn w:val="1"/>
    <w:next w:val="1"/>
    <w:link w:val="176"/>
    <w:autoRedefine/>
    <w:qFormat/>
    <w:uiPriority w:val="0"/>
    <w:pPr>
      <w:keepNext/>
      <w:keepLines/>
      <w:spacing w:before="280" w:after="290" w:line="372" w:lineRule="auto"/>
      <w:outlineLvl w:val="4"/>
    </w:pPr>
    <w:rPr>
      <w:b/>
      <w:bCs/>
      <w:kern w:val="0"/>
      <w:sz w:val="28"/>
      <w:szCs w:val="28"/>
    </w:rPr>
  </w:style>
  <w:style w:type="paragraph" w:styleId="8">
    <w:name w:val="heading 6"/>
    <w:basedOn w:val="1"/>
    <w:next w:val="9"/>
    <w:link w:val="194"/>
    <w:autoRedefine/>
    <w:qFormat/>
    <w:uiPriority w:val="0"/>
    <w:pPr>
      <w:keepNext/>
      <w:keepLines/>
      <w:spacing w:before="240" w:after="64" w:line="317" w:lineRule="auto"/>
      <w:outlineLvl w:val="5"/>
    </w:pPr>
    <w:rPr>
      <w:rFonts w:ascii="Arial" w:hAnsi="Arial" w:eastAsia="黑体"/>
      <w:b/>
      <w:sz w:val="24"/>
      <w:szCs w:val="20"/>
    </w:rPr>
  </w:style>
  <w:style w:type="paragraph" w:styleId="10">
    <w:name w:val="heading 7"/>
    <w:basedOn w:val="1"/>
    <w:next w:val="9"/>
    <w:link w:val="118"/>
    <w:autoRedefine/>
    <w:qFormat/>
    <w:uiPriority w:val="0"/>
    <w:pPr>
      <w:keepNext/>
      <w:keepLines/>
      <w:spacing w:before="240" w:after="64" w:line="317" w:lineRule="auto"/>
      <w:outlineLvl w:val="6"/>
    </w:pPr>
    <w:rPr>
      <w:b/>
      <w:sz w:val="24"/>
      <w:szCs w:val="20"/>
    </w:rPr>
  </w:style>
  <w:style w:type="paragraph" w:styleId="11">
    <w:name w:val="heading 8"/>
    <w:basedOn w:val="1"/>
    <w:next w:val="9"/>
    <w:link w:val="110"/>
    <w:autoRedefine/>
    <w:qFormat/>
    <w:uiPriority w:val="0"/>
    <w:pPr>
      <w:keepNext/>
      <w:keepLines/>
      <w:spacing w:before="240" w:after="64" w:line="317" w:lineRule="auto"/>
      <w:outlineLvl w:val="7"/>
    </w:pPr>
    <w:rPr>
      <w:rFonts w:ascii="Arial" w:hAnsi="Arial" w:eastAsia="黑体"/>
      <w:sz w:val="24"/>
      <w:szCs w:val="20"/>
    </w:rPr>
  </w:style>
  <w:style w:type="paragraph" w:styleId="12">
    <w:name w:val="heading 9"/>
    <w:basedOn w:val="1"/>
    <w:next w:val="9"/>
    <w:link w:val="192"/>
    <w:autoRedefine/>
    <w:qFormat/>
    <w:uiPriority w:val="0"/>
    <w:pPr>
      <w:keepNext/>
      <w:keepLines/>
      <w:spacing w:before="240" w:after="64" w:line="317" w:lineRule="auto"/>
      <w:outlineLvl w:val="8"/>
    </w:pPr>
    <w:rPr>
      <w:rFonts w:ascii="Arial" w:hAnsi="Arial" w:eastAsia="黑体"/>
      <w:szCs w:val="20"/>
    </w:rPr>
  </w:style>
  <w:style w:type="character" w:default="1" w:styleId="55">
    <w:name w:val="Default Paragraph Font"/>
    <w:autoRedefine/>
    <w:semiHidden/>
    <w:unhideWhenUsed/>
    <w:qFormat/>
    <w:uiPriority w:val="1"/>
  </w:style>
  <w:style w:type="table" w:default="1" w:styleId="53">
    <w:name w:val="Normal Table"/>
    <w:autoRedefine/>
    <w:semiHidden/>
    <w:unhideWhenUsed/>
    <w:qFormat/>
    <w:uiPriority w:val="99"/>
    <w:tblPr>
      <w:tblCellMar>
        <w:top w:w="0" w:type="dxa"/>
        <w:left w:w="108" w:type="dxa"/>
        <w:bottom w:w="0" w:type="dxa"/>
        <w:right w:w="108" w:type="dxa"/>
      </w:tblCellMar>
    </w:tblPr>
  </w:style>
  <w:style w:type="paragraph" w:styleId="2">
    <w:name w:val="macro"/>
    <w:link w:val="179"/>
    <w:autoRedefine/>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Times New Roman"/>
      <w:kern w:val="2"/>
      <w:sz w:val="24"/>
      <w:szCs w:val="24"/>
      <w:lang w:val="en-US" w:eastAsia="zh-CN" w:bidi="ar-SA"/>
    </w:rPr>
  </w:style>
  <w:style w:type="paragraph" w:styleId="9">
    <w:name w:val="Normal Indent"/>
    <w:basedOn w:val="1"/>
    <w:next w:val="1"/>
    <w:link w:val="153"/>
    <w:autoRedefine/>
    <w:unhideWhenUsed/>
    <w:qFormat/>
    <w:uiPriority w:val="0"/>
    <w:pPr>
      <w:ind w:firstLine="420" w:firstLineChars="200"/>
    </w:pPr>
    <w:rPr>
      <w:kern w:val="0"/>
      <w:sz w:val="20"/>
    </w:rPr>
  </w:style>
  <w:style w:type="paragraph" w:styleId="13">
    <w:name w:val="toc 7"/>
    <w:basedOn w:val="1"/>
    <w:next w:val="1"/>
    <w:autoRedefine/>
    <w:qFormat/>
    <w:uiPriority w:val="0"/>
    <w:pPr>
      <w:autoSpaceDE w:val="0"/>
      <w:autoSpaceDN w:val="0"/>
      <w:adjustRightInd w:val="0"/>
      <w:ind w:left="2520" w:leftChars="1200"/>
      <w:jc w:val="left"/>
    </w:pPr>
    <w:rPr>
      <w:kern w:val="0"/>
      <w:sz w:val="20"/>
      <w:szCs w:val="20"/>
    </w:rPr>
  </w:style>
  <w:style w:type="paragraph" w:styleId="14">
    <w:name w:val="List Number"/>
    <w:basedOn w:val="1"/>
    <w:autoRedefine/>
    <w:qFormat/>
    <w:uiPriority w:val="0"/>
    <w:pPr>
      <w:tabs>
        <w:tab w:val="left" w:pos="360"/>
      </w:tabs>
      <w:ind w:left="360" w:hanging="360" w:hangingChars="200"/>
    </w:pPr>
  </w:style>
  <w:style w:type="paragraph" w:styleId="15">
    <w:name w:val="caption"/>
    <w:basedOn w:val="1"/>
    <w:next w:val="1"/>
    <w:autoRedefine/>
    <w:qFormat/>
    <w:uiPriority w:val="0"/>
    <w:pPr>
      <w:autoSpaceDE w:val="0"/>
      <w:autoSpaceDN w:val="0"/>
      <w:adjustRightInd w:val="0"/>
      <w:jc w:val="left"/>
    </w:pPr>
    <w:rPr>
      <w:rFonts w:ascii="Arial" w:hAnsi="Arial" w:eastAsia="黑体" w:cs="Arial"/>
      <w:kern w:val="0"/>
      <w:sz w:val="20"/>
      <w:szCs w:val="20"/>
    </w:rPr>
  </w:style>
  <w:style w:type="paragraph" w:styleId="16">
    <w:name w:val="List Bullet"/>
    <w:basedOn w:val="1"/>
    <w:autoRedefine/>
    <w:qFormat/>
    <w:uiPriority w:val="0"/>
    <w:pPr>
      <w:tabs>
        <w:tab w:val="left" w:pos="360"/>
      </w:tabs>
    </w:pPr>
    <w:rPr>
      <w:szCs w:val="22"/>
    </w:rPr>
  </w:style>
  <w:style w:type="paragraph" w:styleId="17">
    <w:name w:val="Document Map"/>
    <w:basedOn w:val="1"/>
    <w:link w:val="71"/>
    <w:autoRedefine/>
    <w:qFormat/>
    <w:uiPriority w:val="0"/>
    <w:pPr>
      <w:shd w:val="clear" w:color="auto" w:fill="000080"/>
    </w:pPr>
    <w:rPr>
      <w:rFonts w:ascii="Times New Roman" w:hAnsi="Times New Roman"/>
      <w:kern w:val="0"/>
      <w:sz w:val="20"/>
    </w:rPr>
  </w:style>
  <w:style w:type="paragraph" w:styleId="18">
    <w:name w:val="annotation text"/>
    <w:basedOn w:val="1"/>
    <w:link w:val="113"/>
    <w:autoRedefine/>
    <w:unhideWhenUsed/>
    <w:qFormat/>
    <w:uiPriority w:val="0"/>
    <w:pPr>
      <w:jc w:val="left"/>
    </w:pPr>
  </w:style>
  <w:style w:type="paragraph" w:styleId="19">
    <w:name w:val="Salutation"/>
    <w:basedOn w:val="1"/>
    <w:next w:val="1"/>
    <w:link w:val="74"/>
    <w:autoRedefine/>
    <w:qFormat/>
    <w:uiPriority w:val="0"/>
    <w:pPr>
      <w:tabs>
        <w:tab w:val="left" w:pos="840"/>
      </w:tabs>
      <w:autoSpaceDE w:val="0"/>
      <w:autoSpaceDN w:val="0"/>
      <w:adjustRightInd w:val="0"/>
      <w:jc w:val="left"/>
    </w:pPr>
    <w:rPr>
      <w:rFonts w:ascii="仿宋_GB2312" w:hAnsi="Times New Roman" w:eastAsia="仿宋_GB2312"/>
      <w:b/>
      <w:kern w:val="0"/>
      <w:sz w:val="24"/>
      <w:szCs w:val="32"/>
    </w:rPr>
  </w:style>
  <w:style w:type="paragraph" w:styleId="20">
    <w:name w:val="Body Text 3"/>
    <w:basedOn w:val="1"/>
    <w:link w:val="86"/>
    <w:autoRedefine/>
    <w:qFormat/>
    <w:uiPriority w:val="0"/>
    <w:pPr>
      <w:autoSpaceDE w:val="0"/>
      <w:autoSpaceDN w:val="0"/>
      <w:adjustRightInd w:val="0"/>
      <w:jc w:val="center"/>
    </w:pPr>
    <w:rPr>
      <w:rFonts w:ascii="等线" w:hAnsi="等线" w:eastAsia="等线"/>
      <w:szCs w:val="22"/>
    </w:rPr>
  </w:style>
  <w:style w:type="paragraph" w:styleId="21">
    <w:name w:val="Body Text"/>
    <w:basedOn w:val="1"/>
    <w:next w:val="22"/>
    <w:link w:val="208"/>
    <w:autoRedefine/>
    <w:unhideWhenUsed/>
    <w:qFormat/>
    <w:uiPriority w:val="0"/>
    <w:pPr>
      <w:spacing w:after="120"/>
    </w:pPr>
  </w:style>
  <w:style w:type="paragraph" w:styleId="22">
    <w:name w:val="toc 4"/>
    <w:basedOn w:val="1"/>
    <w:next w:val="1"/>
    <w:autoRedefine/>
    <w:qFormat/>
    <w:uiPriority w:val="0"/>
    <w:pPr>
      <w:autoSpaceDE w:val="0"/>
      <w:autoSpaceDN w:val="0"/>
      <w:adjustRightInd w:val="0"/>
      <w:ind w:left="1260" w:leftChars="600"/>
      <w:jc w:val="left"/>
    </w:pPr>
    <w:rPr>
      <w:kern w:val="0"/>
      <w:sz w:val="20"/>
      <w:szCs w:val="20"/>
    </w:rPr>
  </w:style>
  <w:style w:type="paragraph" w:styleId="23">
    <w:name w:val="Body Text Indent"/>
    <w:basedOn w:val="1"/>
    <w:next w:val="24"/>
    <w:link w:val="116"/>
    <w:autoRedefine/>
    <w:unhideWhenUsed/>
    <w:qFormat/>
    <w:uiPriority w:val="0"/>
    <w:pPr>
      <w:spacing w:after="120"/>
      <w:ind w:left="420" w:leftChars="200"/>
    </w:pPr>
  </w:style>
  <w:style w:type="paragraph" w:styleId="24">
    <w:name w:val="Body Text First Indent 2"/>
    <w:basedOn w:val="23"/>
    <w:link w:val="219"/>
    <w:autoRedefine/>
    <w:qFormat/>
    <w:uiPriority w:val="0"/>
    <w:pPr>
      <w:ind w:hanging="200" w:hangingChars="200"/>
    </w:pPr>
    <w:rPr>
      <w:rFonts w:cs="宋体"/>
      <w:szCs w:val="21"/>
    </w:rPr>
  </w:style>
  <w:style w:type="paragraph" w:styleId="25">
    <w:name w:val="List Number 3"/>
    <w:basedOn w:val="1"/>
    <w:autoRedefine/>
    <w:qFormat/>
    <w:uiPriority w:val="0"/>
    <w:pPr>
      <w:tabs>
        <w:tab w:val="left" w:pos="1200"/>
      </w:tabs>
      <w:ind w:left="1200" w:leftChars="400" w:hanging="360" w:hangingChars="200"/>
    </w:pPr>
  </w:style>
  <w:style w:type="paragraph" w:styleId="26">
    <w:name w:val="Block Text"/>
    <w:basedOn w:val="1"/>
    <w:autoRedefine/>
    <w:qFormat/>
    <w:uiPriority w:val="0"/>
    <w:pPr>
      <w:spacing w:line="520" w:lineRule="exact"/>
      <w:ind w:left="540" w:leftChars="257" w:right="-514"/>
    </w:pPr>
    <w:rPr>
      <w:rFonts w:ascii="宋体" w:hAnsi="宋体"/>
      <w:sz w:val="24"/>
    </w:rPr>
  </w:style>
  <w:style w:type="paragraph" w:styleId="27">
    <w:name w:val="List Bullet 2"/>
    <w:basedOn w:val="1"/>
    <w:autoRedefine/>
    <w:qFormat/>
    <w:uiPriority w:val="0"/>
    <w:pPr>
      <w:tabs>
        <w:tab w:val="left" w:pos="780"/>
      </w:tabs>
      <w:spacing w:line="360" w:lineRule="auto"/>
      <w:ind w:left="780" w:leftChars="200" w:hanging="360" w:hangingChars="200"/>
    </w:pPr>
  </w:style>
  <w:style w:type="paragraph" w:styleId="28">
    <w:name w:val="toc 5"/>
    <w:basedOn w:val="1"/>
    <w:next w:val="1"/>
    <w:autoRedefine/>
    <w:qFormat/>
    <w:uiPriority w:val="0"/>
    <w:pPr>
      <w:autoSpaceDE w:val="0"/>
      <w:autoSpaceDN w:val="0"/>
      <w:adjustRightInd w:val="0"/>
      <w:ind w:left="1680" w:leftChars="800"/>
      <w:jc w:val="left"/>
    </w:pPr>
    <w:rPr>
      <w:kern w:val="0"/>
      <w:sz w:val="20"/>
      <w:szCs w:val="20"/>
    </w:rPr>
  </w:style>
  <w:style w:type="paragraph" w:styleId="29">
    <w:name w:val="toc 3"/>
    <w:basedOn w:val="1"/>
    <w:next w:val="1"/>
    <w:autoRedefine/>
    <w:qFormat/>
    <w:uiPriority w:val="0"/>
    <w:pPr>
      <w:ind w:left="840" w:leftChars="400"/>
    </w:pPr>
  </w:style>
  <w:style w:type="paragraph" w:styleId="30">
    <w:name w:val="Plain Text"/>
    <w:basedOn w:val="1"/>
    <w:link w:val="91"/>
    <w:autoRedefine/>
    <w:qFormat/>
    <w:uiPriority w:val="0"/>
    <w:pPr>
      <w:widowControl/>
      <w:overflowPunct w:val="0"/>
      <w:autoSpaceDE w:val="0"/>
      <w:autoSpaceDN w:val="0"/>
      <w:adjustRightInd w:val="0"/>
      <w:jc w:val="left"/>
      <w:textAlignment w:val="baseline"/>
    </w:pPr>
    <w:rPr>
      <w:rFonts w:ascii="宋体" w:hAnsi="Courier New"/>
      <w:b/>
      <w:kern w:val="0"/>
      <w:sz w:val="20"/>
      <w:szCs w:val="21"/>
    </w:rPr>
  </w:style>
  <w:style w:type="paragraph" w:styleId="31">
    <w:name w:val="List Number 4"/>
    <w:basedOn w:val="1"/>
    <w:autoRedefine/>
    <w:qFormat/>
    <w:uiPriority w:val="0"/>
    <w:pPr>
      <w:tabs>
        <w:tab w:val="left" w:pos="840"/>
      </w:tabs>
      <w:autoSpaceDE w:val="0"/>
      <w:autoSpaceDN w:val="0"/>
      <w:adjustRightInd w:val="0"/>
      <w:spacing w:line="360" w:lineRule="atLeast"/>
      <w:ind w:left="840" w:hanging="420"/>
      <w:jc w:val="left"/>
    </w:pPr>
    <w:rPr>
      <w:kern w:val="0"/>
      <w:sz w:val="24"/>
      <w:szCs w:val="20"/>
    </w:rPr>
  </w:style>
  <w:style w:type="paragraph" w:styleId="32">
    <w:name w:val="toc 8"/>
    <w:basedOn w:val="1"/>
    <w:next w:val="1"/>
    <w:qFormat/>
    <w:uiPriority w:val="0"/>
    <w:pPr>
      <w:autoSpaceDE w:val="0"/>
      <w:autoSpaceDN w:val="0"/>
      <w:adjustRightInd w:val="0"/>
      <w:ind w:left="2940" w:leftChars="1400"/>
      <w:jc w:val="left"/>
    </w:pPr>
    <w:rPr>
      <w:kern w:val="0"/>
      <w:sz w:val="20"/>
      <w:szCs w:val="20"/>
    </w:rPr>
  </w:style>
  <w:style w:type="paragraph" w:styleId="33">
    <w:name w:val="Date"/>
    <w:basedOn w:val="1"/>
    <w:next w:val="1"/>
    <w:link w:val="120"/>
    <w:autoRedefine/>
    <w:qFormat/>
    <w:uiPriority w:val="0"/>
    <w:pPr>
      <w:ind w:left="100" w:leftChars="2500"/>
    </w:pPr>
    <w:rPr>
      <w:rFonts w:ascii="Times New Roman" w:hAnsi="Times New Roman"/>
      <w:kern w:val="0"/>
      <w:sz w:val="20"/>
    </w:rPr>
  </w:style>
  <w:style w:type="paragraph" w:styleId="34">
    <w:name w:val="Body Text Indent 2"/>
    <w:basedOn w:val="1"/>
    <w:link w:val="191"/>
    <w:autoRedefine/>
    <w:qFormat/>
    <w:uiPriority w:val="0"/>
    <w:pPr>
      <w:spacing w:line="500" w:lineRule="exact"/>
      <w:ind w:firstLine="511" w:firstLineChars="213"/>
    </w:pPr>
    <w:rPr>
      <w:rFonts w:ascii="Times New Roman" w:hAnsi="Times New Roman"/>
      <w:kern w:val="0"/>
      <w:sz w:val="24"/>
    </w:rPr>
  </w:style>
  <w:style w:type="paragraph" w:styleId="35">
    <w:name w:val="Balloon Text"/>
    <w:basedOn w:val="1"/>
    <w:link w:val="70"/>
    <w:autoRedefine/>
    <w:qFormat/>
    <w:uiPriority w:val="0"/>
    <w:rPr>
      <w:rFonts w:ascii="Times New Roman" w:hAnsi="Times New Roman"/>
      <w:kern w:val="0"/>
      <w:sz w:val="18"/>
      <w:szCs w:val="18"/>
    </w:rPr>
  </w:style>
  <w:style w:type="paragraph" w:styleId="36">
    <w:name w:val="footer"/>
    <w:basedOn w:val="1"/>
    <w:link w:val="173"/>
    <w:autoRedefine/>
    <w:unhideWhenUsed/>
    <w:qFormat/>
    <w:uiPriority w:val="0"/>
    <w:pPr>
      <w:tabs>
        <w:tab w:val="center" w:pos="4153"/>
        <w:tab w:val="right" w:pos="8306"/>
      </w:tabs>
      <w:snapToGrid w:val="0"/>
      <w:jc w:val="left"/>
    </w:pPr>
    <w:rPr>
      <w:sz w:val="18"/>
      <w:szCs w:val="18"/>
    </w:rPr>
  </w:style>
  <w:style w:type="paragraph" w:styleId="37">
    <w:name w:val="envelope return"/>
    <w:basedOn w:val="1"/>
    <w:autoRedefine/>
    <w:qFormat/>
    <w:uiPriority w:val="0"/>
    <w:pPr>
      <w:snapToGrid w:val="0"/>
    </w:pPr>
    <w:rPr>
      <w:rFonts w:ascii="Arial" w:hAnsi="Arial"/>
    </w:rPr>
  </w:style>
  <w:style w:type="paragraph" w:styleId="38">
    <w:name w:val="header"/>
    <w:basedOn w:val="1"/>
    <w:link w:val="69"/>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39">
    <w:name w:val="Signature"/>
    <w:basedOn w:val="1"/>
    <w:link w:val="216"/>
    <w:autoRedefine/>
    <w:qFormat/>
    <w:uiPriority w:val="0"/>
    <w:pPr>
      <w:autoSpaceDE w:val="0"/>
      <w:autoSpaceDN w:val="0"/>
      <w:adjustRightInd w:val="0"/>
      <w:spacing w:after="600" w:line="312" w:lineRule="atLeast"/>
      <w:jc w:val="center"/>
      <w:textAlignment w:val="baseline"/>
    </w:pPr>
    <w:rPr>
      <w:rFonts w:ascii="仿宋_GB2312" w:hAnsi="Times New Roman" w:eastAsia="仿宋_GB2312"/>
      <w:b/>
      <w:kern w:val="0"/>
      <w:sz w:val="24"/>
      <w:szCs w:val="32"/>
    </w:rPr>
  </w:style>
  <w:style w:type="paragraph" w:styleId="40">
    <w:name w:val="toc 1"/>
    <w:basedOn w:val="1"/>
    <w:next w:val="1"/>
    <w:qFormat/>
    <w:uiPriority w:val="0"/>
  </w:style>
  <w:style w:type="paragraph" w:styleId="41">
    <w:name w:val="Subtitle"/>
    <w:basedOn w:val="1"/>
    <w:next w:val="1"/>
    <w:link w:val="168"/>
    <w:qFormat/>
    <w:uiPriority w:val="0"/>
    <w:pPr>
      <w:spacing w:before="240" w:after="60" w:line="312" w:lineRule="auto"/>
      <w:jc w:val="center"/>
      <w:outlineLvl w:val="1"/>
    </w:pPr>
    <w:rPr>
      <w:rFonts w:ascii="Cambria" w:hAnsi="Cambria"/>
      <w:b/>
      <w:bCs/>
      <w:kern w:val="28"/>
      <w:sz w:val="32"/>
      <w:szCs w:val="32"/>
    </w:rPr>
  </w:style>
  <w:style w:type="paragraph" w:styleId="42">
    <w:name w:val="List Number 5"/>
    <w:basedOn w:val="1"/>
    <w:autoRedefine/>
    <w:qFormat/>
    <w:uiPriority w:val="0"/>
    <w:pPr>
      <w:tabs>
        <w:tab w:val="left" w:pos="2040"/>
      </w:tabs>
      <w:autoSpaceDE w:val="0"/>
      <w:autoSpaceDN w:val="0"/>
      <w:adjustRightInd w:val="0"/>
      <w:spacing w:line="400" w:lineRule="exact"/>
      <w:ind w:left="2040" w:hanging="360"/>
      <w:jc w:val="left"/>
    </w:pPr>
    <w:rPr>
      <w:kern w:val="0"/>
      <w:sz w:val="24"/>
      <w:szCs w:val="20"/>
    </w:rPr>
  </w:style>
  <w:style w:type="paragraph" w:styleId="43">
    <w:name w:val="List"/>
    <w:basedOn w:val="1"/>
    <w:autoRedefine/>
    <w:qFormat/>
    <w:uiPriority w:val="0"/>
    <w:pPr>
      <w:ind w:left="200" w:hanging="200" w:hangingChars="200"/>
    </w:pPr>
    <w:rPr>
      <w:rFonts w:ascii="Times New Roman" w:hAnsi="Times New Roman"/>
    </w:rPr>
  </w:style>
  <w:style w:type="paragraph" w:styleId="44">
    <w:name w:val="toc 6"/>
    <w:basedOn w:val="1"/>
    <w:next w:val="1"/>
    <w:autoRedefine/>
    <w:qFormat/>
    <w:uiPriority w:val="0"/>
    <w:pPr>
      <w:autoSpaceDE w:val="0"/>
      <w:autoSpaceDN w:val="0"/>
      <w:adjustRightInd w:val="0"/>
      <w:ind w:left="2100" w:leftChars="1000"/>
      <w:jc w:val="left"/>
    </w:pPr>
    <w:rPr>
      <w:kern w:val="0"/>
      <w:sz w:val="20"/>
      <w:szCs w:val="20"/>
    </w:rPr>
  </w:style>
  <w:style w:type="paragraph" w:styleId="45">
    <w:name w:val="Body Text Indent 3"/>
    <w:basedOn w:val="1"/>
    <w:link w:val="143"/>
    <w:qFormat/>
    <w:uiPriority w:val="0"/>
    <w:pPr>
      <w:spacing w:line="500" w:lineRule="exact"/>
      <w:ind w:left="511" w:hanging="511" w:hangingChars="213"/>
    </w:pPr>
    <w:rPr>
      <w:rFonts w:ascii="Times New Roman" w:hAnsi="Times New Roman"/>
      <w:kern w:val="0"/>
      <w:sz w:val="24"/>
    </w:rPr>
  </w:style>
  <w:style w:type="paragraph" w:styleId="46">
    <w:name w:val="toc 2"/>
    <w:basedOn w:val="1"/>
    <w:next w:val="1"/>
    <w:autoRedefine/>
    <w:qFormat/>
    <w:uiPriority w:val="0"/>
    <w:pPr>
      <w:ind w:left="420" w:leftChars="200"/>
    </w:pPr>
  </w:style>
  <w:style w:type="paragraph" w:styleId="47">
    <w:name w:val="toc 9"/>
    <w:basedOn w:val="1"/>
    <w:next w:val="1"/>
    <w:autoRedefine/>
    <w:qFormat/>
    <w:uiPriority w:val="0"/>
    <w:pPr>
      <w:autoSpaceDE w:val="0"/>
      <w:autoSpaceDN w:val="0"/>
      <w:adjustRightInd w:val="0"/>
      <w:ind w:left="3360" w:leftChars="1600"/>
      <w:jc w:val="left"/>
    </w:pPr>
    <w:rPr>
      <w:kern w:val="0"/>
      <w:sz w:val="20"/>
      <w:szCs w:val="20"/>
    </w:rPr>
  </w:style>
  <w:style w:type="paragraph" w:styleId="48">
    <w:name w:val="Body Text 2"/>
    <w:basedOn w:val="1"/>
    <w:link w:val="195"/>
    <w:autoRedefine/>
    <w:qFormat/>
    <w:uiPriority w:val="0"/>
    <w:pPr>
      <w:autoSpaceDE w:val="0"/>
      <w:autoSpaceDN w:val="0"/>
      <w:adjustRightInd w:val="0"/>
      <w:spacing w:after="120" w:line="480" w:lineRule="auto"/>
      <w:jc w:val="left"/>
    </w:pPr>
    <w:rPr>
      <w:rFonts w:ascii="等线" w:hAnsi="等线" w:eastAsia="等线"/>
      <w:szCs w:val="22"/>
    </w:rPr>
  </w:style>
  <w:style w:type="paragraph" w:styleId="4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50">
    <w:name w:val="Title"/>
    <w:basedOn w:val="1"/>
    <w:next w:val="1"/>
    <w:link w:val="103"/>
    <w:qFormat/>
    <w:uiPriority w:val="0"/>
    <w:pPr>
      <w:spacing w:before="240" w:after="60"/>
      <w:jc w:val="center"/>
      <w:outlineLvl w:val="0"/>
    </w:pPr>
    <w:rPr>
      <w:rFonts w:ascii="Cambria" w:hAnsi="Cambria"/>
      <w:b/>
      <w:bCs/>
      <w:kern w:val="0"/>
      <w:sz w:val="32"/>
      <w:szCs w:val="32"/>
    </w:rPr>
  </w:style>
  <w:style w:type="paragraph" w:styleId="51">
    <w:name w:val="annotation subject"/>
    <w:basedOn w:val="18"/>
    <w:next w:val="18"/>
    <w:link w:val="152"/>
    <w:autoRedefine/>
    <w:qFormat/>
    <w:uiPriority w:val="0"/>
    <w:rPr>
      <w:rFonts w:ascii="Times New Roman" w:hAnsi="Times New Roman"/>
      <w:b/>
      <w:bCs/>
      <w:kern w:val="0"/>
      <w:sz w:val="20"/>
    </w:rPr>
  </w:style>
  <w:style w:type="paragraph" w:styleId="52">
    <w:name w:val="Body Text First Indent"/>
    <w:basedOn w:val="21"/>
    <w:next w:val="44"/>
    <w:link w:val="129"/>
    <w:autoRedefine/>
    <w:qFormat/>
    <w:uiPriority w:val="0"/>
    <w:pPr>
      <w:autoSpaceDE w:val="0"/>
      <w:autoSpaceDN w:val="0"/>
      <w:adjustRightInd w:val="0"/>
      <w:ind w:firstLine="420" w:firstLineChars="100"/>
      <w:jc w:val="left"/>
    </w:pPr>
    <w:rPr>
      <w:rFonts w:ascii="等线" w:hAnsi="等线" w:eastAsia="等线"/>
      <w:szCs w:val="22"/>
    </w:rPr>
  </w:style>
  <w:style w:type="table" w:styleId="54">
    <w:name w:val="Table Grid"/>
    <w:basedOn w:val="5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6">
    <w:name w:val="Strong"/>
    <w:autoRedefine/>
    <w:qFormat/>
    <w:uiPriority w:val="0"/>
    <w:rPr>
      <w:rFonts w:ascii="仿宋_GB2312" w:eastAsia="仿宋_GB2312"/>
      <w:bCs/>
      <w:sz w:val="32"/>
      <w:szCs w:val="32"/>
    </w:rPr>
  </w:style>
  <w:style w:type="character" w:styleId="57">
    <w:name w:val="page number"/>
    <w:basedOn w:val="55"/>
    <w:autoRedefine/>
    <w:qFormat/>
    <w:uiPriority w:val="0"/>
  </w:style>
  <w:style w:type="character" w:styleId="58">
    <w:name w:val="FollowedHyperlink"/>
    <w:autoRedefine/>
    <w:qFormat/>
    <w:uiPriority w:val="0"/>
    <w:rPr>
      <w:rFonts w:ascii="仿宋_GB2312" w:eastAsia="仿宋_GB2312"/>
      <w:b/>
      <w:color w:val="800080"/>
      <w:sz w:val="32"/>
      <w:szCs w:val="32"/>
      <w:u w:val="none"/>
    </w:rPr>
  </w:style>
  <w:style w:type="character" w:styleId="59">
    <w:name w:val="Emphasis"/>
    <w:autoRedefine/>
    <w:qFormat/>
    <w:uiPriority w:val="0"/>
    <w:rPr>
      <w:i/>
      <w:iCs/>
    </w:rPr>
  </w:style>
  <w:style w:type="character" w:styleId="60">
    <w:name w:val="line number"/>
    <w:basedOn w:val="55"/>
    <w:autoRedefine/>
    <w:qFormat/>
    <w:uiPriority w:val="0"/>
  </w:style>
  <w:style w:type="character" w:styleId="61">
    <w:name w:val="Hyperlink"/>
    <w:autoRedefine/>
    <w:qFormat/>
    <w:uiPriority w:val="0"/>
    <w:rPr>
      <w:rFonts w:ascii="仿宋_GB2312" w:eastAsia="仿宋_GB2312"/>
      <w:b/>
      <w:color w:val="0000FF"/>
      <w:sz w:val="32"/>
      <w:szCs w:val="32"/>
      <w:u w:val="none"/>
    </w:rPr>
  </w:style>
  <w:style w:type="character" w:styleId="62">
    <w:name w:val="annotation reference"/>
    <w:autoRedefine/>
    <w:qFormat/>
    <w:uiPriority w:val="0"/>
    <w:rPr>
      <w:sz w:val="21"/>
      <w:szCs w:val="21"/>
    </w:rPr>
  </w:style>
  <w:style w:type="character" w:styleId="63">
    <w:name w:val="HTML Cite"/>
    <w:autoRedefine/>
    <w:qFormat/>
    <w:uiPriority w:val="0"/>
    <w:rPr>
      <w:color w:val="008000"/>
    </w:rPr>
  </w:style>
  <w:style w:type="paragraph" w:customStyle="1" w:styleId="64">
    <w:name w:val="01 正文-首行缩进2字符"/>
    <w:basedOn w:val="1"/>
    <w:autoRedefine/>
    <w:qFormat/>
    <w:uiPriority w:val="0"/>
    <w:pPr>
      <w:spacing w:before="50" w:beforeLines="50" w:after="50" w:afterLines="50"/>
      <w:ind w:firstLine="200" w:firstLineChars="200"/>
    </w:pPr>
    <w:rPr>
      <w:rFonts w:ascii="Arial" w:hAnsi="Arial"/>
      <w:color w:val="000000"/>
    </w:rPr>
  </w:style>
  <w:style w:type="paragraph" w:customStyle="1" w:styleId="65">
    <w:name w:val="Char3 Char Char Char"/>
    <w:basedOn w:val="1"/>
    <w:autoRedefine/>
    <w:qFormat/>
    <w:uiPriority w:val="0"/>
  </w:style>
  <w:style w:type="character" w:customStyle="1" w:styleId="66">
    <w:name w:val="Style4"/>
    <w:autoRedefine/>
    <w:qFormat/>
    <w:uiPriority w:val="0"/>
    <w:rPr>
      <w:rFonts w:ascii="Calibri" w:hAnsi="宋体" w:eastAsia="宋体" w:cs="Times New Roman"/>
      <w:szCs w:val="22"/>
      <w:lang w:eastAsia="zh-CN"/>
    </w:rPr>
  </w:style>
  <w:style w:type="character" w:customStyle="1" w:styleId="67">
    <w:name w:val="Style2"/>
    <w:autoRedefine/>
    <w:qFormat/>
    <w:uiPriority w:val="0"/>
    <w:rPr>
      <w:rFonts w:ascii="Calibri" w:hAnsi="宋体" w:eastAsia="宋体" w:cs="Times New Roman"/>
      <w:sz w:val="22"/>
      <w:szCs w:val="22"/>
      <w:lang w:eastAsia="zh-CN"/>
    </w:rPr>
  </w:style>
  <w:style w:type="character" w:customStyle="1" w:styleId="68">
    <w:name w:val="批注框文本 字符1"/>
    <w:basedOn w:val="55"/>
    <w:autoRedefine/>
    <w:semiHidden/>
    <w:qFormat/>
    <w:uiPriority w:val="99"/>
    <w:rPr>
      <w:rFonts w:ascii="Calibri" w:hAnsi="Calibri" w:eastAsia="宋体" w:cs="Times New Roman"/>
      <w:sz w:val="18"/>
      <w:szCs w:val="18"/>
    </w:rPr>
  </w:style>
  <w:style w:type="character" w:customStyle="1" w:styleId="69">
    <w:name w:val="页眉 Char"/>
    <w:basedOn w:val="55"/>
    <w:link w:val="38"/>
    <w:autoRedefine/>
    <w:qFormat/>
    <w:uiPriority w:val="0"/>
    <w:rPr>
      <w:sz w:val="18"/>
      <w:szCs w:val="18"/>
    </w:rPr>
  </w:style>
  <w:style w:type="character" w:customStyle="1" w:styleId="70">
    <w:name w:val="批注框文本 Char"/>
    <w:link w:val="35"/>
    <w:autoRedefine/>
    <w:qFormat/>
    <w:uiPriority w:val="0"/>
    <w:rPr>
      <w:sz w:val="18"/>
      <w:szCs w:val="18"/>
    </w:rPr>
  </w:style>
  <w:style w:type="character" w:customStyle="1" w:styleId="71">
    <w:name w:val="文档结构图 Char"/>
    <w:link w:val="17"/>
    <w:autoRedefine/>
    <w:qFormat/>
    <w:uiPriority w:val="0"/>
    <w:rPr>
      <w:szCs w:val="24"/>
      <w:shd w:val="clear" w:color="auto" w:fill="000080"/>
    </w:rPr>
  </w:style>
  <w:style w:type="character" w:customStyle="1" w:styleId="72">
    <w:name w:val="Char Char20"/>
    <w:autoRedefine/>
    <w:qFormat/>
    <w:uiPriority w:val="0"/>
    <w:rPr>
      <w:b/>
      <w:bCs/>
      <w:kern w:val="44"/>
      <w:sz w:val="44"/>
      <w:szCs w:val="44"/>
    </w:rPr>
  </w:style>
  <w:style w:type="character" w:customStyle="1" w:styleId="73">
    <w:name w:val="Char Char121"/>
    <w:autoRedefine/>
    <w:qFormat/>
    <w:uiPriority w:val="0"/>
    <w:rPr>
      <w:rFonts w:eastAsia="宋体"/>
      <w:kern w:val="2"/>
      <w:sz w:val="21"/>
      <w:szCs w:val="24"/>
      <w:lang w:val="en-US" w:eastAsia="zh-CN" w:bidi="ar-SA"/>
    </w:rPr>
  </w:style>
  <w:style w:type="character" w:customStyle="1" w:styleId="74">
    <w:name w:val="称呼 Char"/>
    <w:link w:val="19"/>
    <w:autoRedefine/>
    <w:qFormat/>
    <w:uiPriority w:val="0"/>
    <w:rPr>
      <w:rFonts w:ascii="仿宋_GB2312" w:eastAsia="仿宋_GB2312"/>
      <w:b/>
      <w:sz w:val="24"/>
      <w:szCs w:val="32"/>
    </w:rPr>
  </w:style>
  <w:style w:type="character" w:customStyle="1" w:styleId="75">
    <w:name w:val="Char Char211"/>
    <w:autoRedefine/>
    <w:qFormat/>
    <w:uiPriority w:val="0"/>
    <w:rPr>
      <w:rFonts w:ascii="Times New Roman" w:hAnsi="Times New Roman" w:eastAsia="宋体" w:cs="Times New Roman"/>
      <w:b/>
      <w:bCs/>
      <w:kern w:val="44"/>
      <w:sz w:val="44"/>
      <w:szCs w:val="44"/>
    </w:rPr>
  </w:style>
  <w:style w:type="character" w:customStyle="1" w:styleId="76">
    <w:name w:val="书籍标题11"/>
    <w:autoRedefine/>
    <w:qFormat/>
    <w:uiPriority w:val="0"/>
    <w:rPr>
      <w:b/>
      <w:bCs/>
      <w:smallCaps/>
      <w:spacing w:val="5"/>
    </w:rPr>
  </w:style>
  <w:style w:type="character" w:customStyle="1" w:styleId="77">
    <w:name w:val="Texte Char Char"/>
    <w:autoRedefine/>
    <w:qFormat/>
    <w:uiPriority w:val="0"/>
    <w:rPr>
      <w:rFonts w:ascii="宋体" w:hAnsi="Courier New" w:eastAsia="宋体"/>
      <w:sz w:val="21"/>
      <w:szCs w:val="21"/>
      <w:lang w:val="en-US" w:eastAsia="zh-CN" w:bidi="ar-SA"/>
    </w:rPr>
  </w:style>
  <w:style w:type="character" w:customStyle="1" w:styleId="78">
    <w:name w:val="ändrad Char1"/>
    <w:autoRedefine/>
    <w:qFormat/>
    <w:uiPriority w:val="0"/>
    <w:rPr>
      <w:rFonts w:ascii="仿宋_GB2312" w:eastAsia="宋体"/>
      <w:b/>
      <w:kern w:val="2"/>
      <w:sz w:val="21"/>
      <w:szCs w:val="24"/>
      <w:lang w:val="en-US" w:eastAsia="zh-CN" w:bidi="ar-SA"/>
    </w:rPr>
  </w:style>
  <w:style w:type="character" w:customStyle="1" w:styleId="79">
    <w:name w:val="副标题 字符1"/>
    <w:basedOn w:val="55"/>
    <w:autoRedefine/>
    <w:qFormat/>
    <w:uiPriority w:val="11"/>
    <w:rPr>
      <w:b/>
      <w:bCs/>
      <w:kern w:val="28"/>
      <w:sz w:val="32"/>
      <w:szCs w:val="32"/>
    </w:rPr>
  </w:style>
  <w:style w:type="character" w:customStyle="1" w:styleId="80">
    <w:name w:val="表正文 Char2"/>
    <w:autoRedefine/>
    <w:qFormat/>
    <w:uiPriority w:val="0"/>
    <w:rPr>
      <w:rFonts w:ascii="Times New Roman" w:hAnsi="Times New Roman" w:eastAsia="宋体" w:cs="Times New Roman"/>
      <w:szCs w:val="24"/>
    </w:rPr>
  </w:style>
  <w:style w:type="character" w:customStyle="1" w:styleId="81">
    <w:name w:val="heading 3 Char"/>
    <w:autoRedefine/>
    <w:qFormat/>
    <w:uiPriority w:val="0"/>
    <w:rPr>
      <w:rFonts w:ascii="Arial" w:hAnsi="Arial" w:eastAsia="黑体"/>
      <w:sz w:val="28"/>
      <w:szCs w:val="24"/>
    </w:rPr>
  </w:style>
  <w:style w:type="character" w:customStyle="1" w:styleId="82">
    <w:name w:val="heading 1 Char"/>
    <w:autoRedefine/>
    <w:qFormat/>
    <w:uiPriority w:val="0"/>
    <w:rPr>
      <w:rFonts w:ascii="Arial" w:hAnsi="Arial" w:eastAsia="黑体"/>
      <w:b/>
      <w:sz w:val="36"/>
      <w:szCs w:val="36"/>
    </w:rPr>
  </w:style>
  <w:style w:type="character" w:customStyle="1" w:styleId="83">
    <w:name w:val="明显强调1"/>
    <w:autoRedefine/>
    <w:qFormat/>
    <w:uiPriority w:val="0"/>
    <w:rPr>
      <w:b/>
      <w:bCs/>
      <w:i/>
      <w:iCs/>
      <w:color w:val="4F81BD"/>
    </w:rPr>
  </w:style>
  <w:style w:type="character" w:customStyle="1" w:styleId="84">
    <w:name w:val="文档结构图 字符1"/>
    <w:basedOn w:val="55"/>
    <w:autoRedefine/>
    <w:semiHidden/>
    <w:qFormat/>
    <w:uiPriority w:val="99"/>
    <w:rPr>
      <w:rFonts w:ascii="Microsoft YaHei UI" w:hAnsi="Calibri" w:eastAsia="Microsoft YaHei UI" w:cs="Times New Roman"/>
      <w:sz w:val="18"/>
      <w:szCs w:val="18"/>
    </w:rPr>
  </w:style>
  <w:style w:type="character" w:customStyle="1" w:styleId="85">
    <w:name w:val="heading 8 Char1"/>
    <w:autoRedefine/>
    <w:qFormat/>
    <w:uiPriority w:val="0"/>
    <w:rPr>
      <w:rFonts w:ascii="Arial" w:hAnsi="Arial" w:eastAsia="黑体"/>
      <w:sz w:val="24"/>
      <w:lang w:val="en-US" w:eastAsia="zh-CN" w:bidi="ar-SA"/>
    </w:rPr>
  </w:style>
  <w:style w:type="character" w:customStyle="1" w:styleId="86">
    <w:name w:val="正文文本 3 Char"/>
    <w:basedOn w:val="55"/>
    <w:link w:val="20"/>
    <w:autoRedefine/>
    <w:qFormat/>
    <w:uiPriority w:val="0"/>
  </w:style>
  <w:style w:type="character" w:customStyle="1" w:styleId="87">
    <w:name w:val="Char Char11"/>
    <w:autoRedefine/>
    <w:qFormat/>
    <w:uiPriority w:val="0"/>
    <w:rPr>
      <w:rFonts w:ascii="Times New Roman" w:hAnsi="Times New Roman" w:eastAsia="宋体" w:cs="Times New Roman"/>
      <w:sz w:val="18"/>
      <w:szCs w:val="18"/>
    </w:rPr>
  </w:style>
  <w:style w:type="character" w:customStyle="1" w:styleId="88">
    <w:name w:val="Style1"/>
    <w:autoRedefine/>
    <w:qFormat/>
    <w:uiPriority w:val="0"/>
    <w:rPr>
      <w:rFonts w:ascii="Calibri" w:hAnsi="宋体" w:eastAsia="宋体" w:cs="Times New Roman"/>
      <w:sz w:val="22"/>
      <w:szCs w:val="22"/>
      <w:lang w:eastAsia="zh-CN"/>
    </w:rPr>
  </w:style>
  <w:style w:type="character" w:customStyle="1" w:styleId="89">
    <w:name w:val="正文文本 3 字符1"/>
    <w:basedOn w:val="55"/>
    <w:autoRedefine/>
    <w:semiHidden/>
    <w:qFormat/>
    <w:uiPriority w:val="99"/>
    <w:rPr>
      <w:rFonts w:ascii="Calibri" w:hAnsi="Calibri" w:eastAsia="宋体" w:cs="Times New Roman"/>
      <w:sz w:val="16"/>
      <w:szCs w:val="16"/>
    </w:rPr>
  </w:style>
  <w:style w:type="character" w:customStyle="1" w:styleId="90">
    <w:name w:val="heading 9 Char1"/>
    <w:autoRedefine/>
    <w:qFormat/>
    <w:uiPriority w:val="0"/>
    <w:rPr>
      <w:rFonts w:ascii="Arial" w:hAnsi="Arial" w:eastAsia="黑体"/>
      <w:sz w:val="21"/>
      <w:lang w:val="en-US" w:eastAsia="zh-CN" w:bidi="ar-SA"/>
    </w:rPr>
  </w:style>
  <w:style w:type="character" w:customStyle="1" w:styleId="91">
    <w:name w:val="纯文本 Char"/>
    <w:link w:val="30"/>
    <w:autoRedefine/>
    <w:qFormat/>
    <w:uiPriority w:val="0"/>
    <w:rPr>
      <w:rFonts w:ascii="宋体" w:hAnsi="Courier New"/>
      <w:b/>
      <w:szCs w:val="21"/>
    </w:rPr>
  </w:style>
  <w:style w:type="character" w:customStyle="1" w:styleId="92">
    <w:name w:val="heading 5 Char"/>
    <w:autoRedefine/>
    <w:qFormat/>
    <w:uiPriority w:val="0"/>
    <w:rPr>
      <w:rFonts w:ascii="Arial" w:hAnsi="Arial" w:eastAsia="黑体"/>
      <w:sz w:val="21"/>
      <w:szCs w:val="21"/>
    </w:rPr>
  </w:style>
  <w:style w:type="character" w:customStyle="1" w:styleId="93">
    <w:name w:val="font11"/>
    <w:basedOn w:val="55"/>
    <w:autoRedefine/>
    <w:qFormat/>
    <w:uiPriority w:val="0"/>
    <w:rPr>
      <w:rFonts w:hint="eastAsia" w:ascii="宋体" w:hAnsi="宋体" w:eastAsia="宋体" w:cs="宋体"/>
      <w:b/>
      <w:color w:val="000000"/>
      <w:sz w:val="24"/>
      <w:szCs w:val="24"/>
      <w:u w:val="none"/>
    </w:rPr>
  </w:style>
  <w:style w:type="character" w:customStyle="1" w:styleId="94">
    <w:name w:val="heading 2 Char1"/>
    <w:autoRedefine/>
    <w:qFormat/>
    <w:uiPriority w:val="0"/>
    <w:rPr>
      <w:rFonts w:ascii="Cambria" w:hAnsi="Cambria" w:eastAsia="宋体"/>
      <w:b/>
      <w:bCs/>
      <w:kern w:val="2"/>
      <w:sz w:val="32"/>
      <w:szCs w:val="32"/>
      <w:lang w:val="en-US" w:eastAsia="zh-CN" w:bidi="ar-SA"/>
    </w:rPr>
  </w:style>
  <w:style w:type="character" w:customStyle="1" w:styleId="95">
    <w:name w:val="Char Char2"/>
    <w:autoRedefine/>
    <w:qFormat/>
    <w:uiPriority w:val="0"/>
    <w:rPr>
      <w:rFonts w:ascii="Arial" w:hAnsi="Arial" w:eastAsia="黑体"/>
      <w:b/>
      <w:bCs/>
      <w:kern w:val="44"/>
      <w:sz w:val="30"/>
      <w:szCs w:val="44"/>
      <w:lang w:val="en-US" w:eastAsia="zh-CN" w:bidi="ar-SA"/>
    </w:rPr>
  </w:style>
  <w:style w:type="character" w:customStyle="1" w:styleId="96">
    <w:name w:val="Style5"/>
    <w:autoRedefine/>
    <w:qFormat/>
    <w:uiPriority w:val="0"/>
    <w:rPr>
      <w:rFonts w:ascii="Calibri" w:hAnsi="宋体" w:eastAsia="宋体" w:cs="Times New Roman"/>
      <w:sz w:val="22"/>
      <w:szCs w:val="22"/>
      <w:lang w:eastAsia="zh-CN"/>
    </w:rPr>
  </w:style>
  <w:style w:type="character" w:customStyle="1" w:styleId="97">
    <w:name w:val="style41"/>
    <w:autoRedefine/>
    <w:qFormat/>
    <w:uiPriority w:val="0"/>
    <w:rPr>
      <w:color w:val="auto"/>
    </w:rPr>
  </w:style>
  <w:style w:type="character" w:customStyle="1" w:styleId="98">
    <w:name w:val="Char Char4"/>
    <w:autoRedefine/>
    <w:qFormat/>
    <w:uiPriority w:val="0"/>
    <w:rPr>
      <w:rFonts w:ascii="Cambria" w:hAnsi="Cambria" w:eastAsia="宋体"/>
      <w:b/>
      <w:bCs/>
      <w:sz w:val="32"/>
      <w:szCs w:val="32"/>
      <w:lang w:bidi="ar-SA"/>
    </w:rPr>
  </w:style>
  <w:style w:type="character" w:customStyle="1" w:styleId="99">
    <w:name w:val="引用 字符1"/>
    <w:basedOn w:val="55"/>
    <w:autoRedefine/>
    <w:qFormat/>
    <w:uiPriority w:val="29"/>
    <w:rPr>
      <w:rFonts w:ascii="Calibri" w:hAnsi="Calibri" w:eastAsia="宋体" w:cs="Times New Roman"/>
      <w:i/>
      <w:iCs/>
      <w:color w:val="3F3F3F"/>
      <w:szCs w:val="24"/>
    </w:rPr>
  </w:style>
  <w:style w:type="character" w:customStyle="1" w:styleId="100">
    <w:name w:val="ListLabel 1"/>
    <w:autoRedefine/>
    <w:qFormat/>
    <w:uiPriority w:val="7"/>
    <w:rPr>
      <w:rFonts w:ascii="宋体" w:hAnsi="宋体" w:cs="宋体"/>
      <w:color w:val="FF0000"/>
      <w:sz w:val="24"/>
    </w:rPr>
  </w:style>
  <w:style w:type="character" w:customStyle="1" w:styleId="101">
    <w:name w:val="blue1"/>
    <w:basedOn w:val="55"/>
    <w:autoRedefine/>
    <w:qFormat/>
    <w:uiPriority w:val="0"/>
  </w:style>
  <w:style w:type="character" w:customStyle="1" w:styleId="102">
    <w:name w:val="Ò³Ã¼ Char Char2"/>
    <w:autoRedefine/>
    <w:qFormat/>
    <w:uiPriority w:val="0"/>
    <w:rPr>
      <w:kern w:val="2"/>
      <w:sz w:val="18"/>
      <w:szCs w:val="18"/>
    </w:rPr>
  </w:style>
  <w:style w:type="character" w:customStyle="1" w:styleId="103">
    <w:name w:val="标题 Char"/>
    <w:link w:val="50"/>
    <w:autoRedefine/>
    <w:qFormat/>
    <w:uiPriority w:val="0"/>
    <w:rPr>
      <w:rFonts w:ascii="Cambria" w:hAnsi="Cambria"/>
      <w:b/>
      <w:bCs/>
      <w:sz w:val="32"/>
      <w:szCs w:val="32"/>
    </w:rPr>
  </w:style>
  <w:style w:type="character" w:customStyle="1" w:styleId="104">
    <w:name w:val="Char Char111"/>
    <w:autoRedefine/>
    <w:qFormat/>
    <w:uiPriority w:val="0"/>
    <w:rPr>
      <w:rFonts w:ascii="Times New Roman" w:hAnsi="Times New Roman" w:eastAsia="宋体" w:cs="Times New Roman"/>
      <w:sz w:val="18"/>
      <w:szCs w:val="18"/>
    </w:rPr>
  </w:style>
  <w:style w:type="character" w:customStyle="1" w:styleId="105">
    <w:name w:val="标题 3 Char"/>
    <w:basedOn w:val="55"/>
    <w:link w:val="5"/>
    <w:autoRedefine/>
    <w:qFormat/>
    <w:uiPriority w:val="0"/>
    <w:rPr>
      <w:rFonts w:ascii="Calibri" w:hAnsi="Calibri" w:eastAsia="黑体" w:cs="Times New Roman"/>
      <w:b/>
      <w:sz w:val="28"/>
      <w:szCs w:val="20"/>
    </w:rPr>
  </w:style>
  <w:style w:type="character" w:customStyle="1" w:styleId="106">
    <w:name w:val="无间隔 Char"/>
    <w:link w:val="107"/>
    <w:autoRedefine/>
    <w:qFormat/>
    <w:uiPriority w:val="0"/>
    <w:rPr>
      <w:rFonts w:ascii="等线" w:hAnsi="等线" w:eastAsia="Times New Roman"/>
      <w:kern w:val="2"/>
      <w:sz w:val="22"/>
      <w:szCs w:val="22"/>
      <w:lang w:val="en-US" w:eastAsia="zh-CN" w:bidi="ar-SA"/>
    </w:rPr>
  </w:style>
  <w:style w:type="paragraph" w:customStyle="1" w:styleId="107">
    <w:name w:val="无间隔1"/>
    <w:link w:val="106"/>
    <w:autoRedefine/>
    <w:qFormat/>
    <w:uiPriority w:val="0"/>
    <w:rPr>
      <w:rFonts w:ascii="等线" w:hAnsi="等线" w:eastAsia="Times New Roman" w:cs="Times New Roman"/>
      <w:kern w:val="2"/>
      <w:sz w:val="22"/>
      <w:szCs w:val="22"/>
      <w:lang w:val="en-US" w:eastAsia="zh-CN" w:bidi="ar-SA"/>
    </w:rPr>
  </w:style>
  <w:style w:type="character" w:customStyle="1" w:styleId="108">
    <w:name w:val="样式2 Char Char"/>
    <w:link w:val="109"/>
    <w:autoRedefine/>
    <w:qFormat/>
    <w:uiPriority w:val="0"/>
    <w:rPr>
      <w:rFonts w:ascii="宋体" w:hAnsi="宋体"/>
      <w:bCs/>
      <w:sz w:val="28"/>
      <w:szCs w:val="28"/>
    </w:rPr>
  </w:style>
  <w:style w:type="paragraph" w:customStyle="1" w:styleId="109">
    <w:name w:val="样式2"/>
    <w:basedOn w:val="4"/>
    <w:link w:val="108"/>
    <w:autoRedefine/>
    <w:qFormat/>
    <w:uiPriority w:val="0"/>
    <w:pPr>
      <w:keepLines/>
      <w:snapToGrid w:val="0"/>
      <w:spacing w:before="260" w:afterLines="50" w:line="480" w:lineRule="exact"/>
      <w:ind w:firstLine="556"/>
    </w:pPr>
    <w:rPr>
      <w:rFonts w:ascii="宋体" w:hAnsi="宋体"/>
      <w:b w:val="0"/>
      <w:bCs/>
      <w:kern w:val="0"/>
      <w:szCs w:val="28"/>
    </w:rPr>
  </w:style>
  <w:style w:type="character" w:customStyle="1" w:styleId="110">
    <w:name w:val="标题 8 Char"/>
    <w:basedOn w:val="55"/>
    <w:link w:val="11"/>
    <w:autoRedefine/>
    <w:qFormat/>
    <w:uiPriority w:val="0"/>
    <w:rPr>
      <w:rFonts w:ascii="Arial" w:hAnsi="Arial" w:eastAsia="黑体" w:cs="Times New Roman"/>
      <w:sz w:val="24"/>
      <w:szCs w:val="20"/>
    </w:rPr>
  </w:style>
  <w:style w:type="character" w:customStyle="1" w:styleId="111">
    <w:name w:val="heading 2 Char2"/>
    <w:autoRedefine/>
    <w:qFormat/>
    <w:uiPriority w:val="0"/>
    <w:rPr>
      <w:rFonts w:ascii="Cambria" w:hAnsi="Cambria"/>
      <w:b/>
      <w:bCs/>
      <w:kern w:val="2"/>
      <w:sz w:val="32"/>
      <w:szCs w:val="32"/>
    </w:rPr>
  </w:style>
  <w:style w:type="character" w:customStyle="1" w:styleId="112">
    <w:name w:val="批注主题 字符1"/>
    <w:basedOn w:val="113"/>
    <w:autoRedefine/>
    <w:semiHidden/>
    <w:qFormat/>
    <w:uiPriority w:val="99"/>
    <w:rPr>
      <w:rFonts w:ascii="Calibri" w:hAnsi="Calibri" w:eastAsia="宋体" w:cs="Times New Roman"/>
      <w:b/>
      <w:bCs/>
      <w:szCs w:val="24"/>
    </w:rPr>
  </w:style>
  <w:style w:type="character" w:customStyle="1" w:styleId="113">
    <w:name w:val="批注文字 Char"/>
    <w:basedOn w:val="55"/>
    <w:link w:val="18"/>
    <w:autoRedefine/>
    <w:qFormat/>
    <w:uiPriority w:val="0"/>
    <w:rPr>
      <w:rFonts w:ascii="Calibri" w:hAnsi="Calibri" w:eastAsia="宋体" w:cs="Times New Roman"/>
      <w:szCs w:val="24"/>
    </w:rPr>
  </w:style>
  <w:style w:type="character" w:customStyle="1" w:styleId="114">
    <w:name w:val="正文文本缩进 2 字符1"/>
    <w:basedOn w:val="55"/>
    <w:autoRedefine/>
    <w:semiHidden/>
    <w:qFormat/>
    <w:uiPriority w:val="99"/>
    <w:rPr>
      <w:rFonts w:ascii="Calibri" w:hAnsi="Calibri" w:eastAsia="宋体" w:cs="Times New Roman"/>
      <w:szCs w:val="24"/>
    </w:rPr>
  </w:style>
  <w:style w:type="character" w:customStyle="1" w:styleId="115">
    <w:name w:val="宏文本 字符1"/>
    <w:basedOn w:val="55"/>
    <w:autoRedefine/>
    <w:semiHidden/>
    <w:qFormat/>
    <w:uiPriority w:val="99"/>
    <w:rPr>
      <w:rFonts w:ascii="Courier New" w:hAnsi="Courier New" w:eastAsia="宋体" w:cs="Courier New"/>
      <w:sz w:val="24"/>
      <w:szCs w:val="24"/>
    </w:rPr>
  </w:style>
  <w:style w:type="character" w:customStyle="1" w:styleId="116">
    <w:name w:val="正文文本缩进 Char"/>
    <w:basedOn w:val="55"/>
    <w:link w:val="23"/>
    <w:autoRedefine/>
    <w:qFormat/>
    <w:uiPriority w:val="0"/>
    <w:rPr>
      <w:rFonts w:ascii="Calibri" w:hAnsi="Calibri" w:eastAsia="宋体" w:cs="Times New Roman"/>
      <w:szCs w:val="24"/>
    </w:rPr>
  </w:style>
  <w:style w:type="character" w:customStyle="1" w:styleId="117">
    <w:name w:val="Footer-Even Char"/>
    <w:autoRedefine/>
    <w:qFormat/>
    <w:uiPriority w:val="0"/>
    <w:rPr>
      <w:sz w:val="18"/>
      <w:szCs w:val="18"/>
    </w:rPr>
  </w:style>
  <w:style w:type="character" w:customStyle="1" w:styleId="118">
    <w:name w:val="标题 7 Char"/>
    <w:basedOn w:val="55"/>
    <w:link w:val="10"/>
    <w:autoRedefine/>
    <w:qFormat/>
    <w:uiPriority w:val="0"/>
    <w:rPr>
      <w:rFonts w:ascii="Calibri" w:hAnsi="Calibri" w:eastAsia="宋体" w:cs="Times New Roman"/>
      <w:b/>
      <w:sz w:val="24"/>
      <w:szCs w:val="20"/>
    </w:rPr>
  </w:style>
  <w:style w:type="character" w:customStyle="1" w:styleId="119">
    <w:name w:val="Char Char21"/>
    <w:autoRedefine/>
    <w:qFormat/>
    <w:uiPriority w:val="0"/>
    <w:rPr>
      <w:rFonts w:ascii="Times New Roman" w:hAnsi="Times New Roman" w:eastAsia="宋体" w:cs="Times New Roman"/>
      <w:b/>
      <w:bCs/>
      <w:kern w:val="44"/>
      <w:sz w:val="44"/>
      <w:szCs w:val="44"/>
    </w:rPr>
  </w:style>
  <w:style w:type="character" w:customStyle="1" w:styleId="120">
    <w:name w:val="日期 Char"/>
    <w:link w:val="33"/>
    <w:autoRedefine/>
    <w:qFormat/>
    <w:uiPriority w:val="0"/>
    <w:rPr>
      <w:szCs w:val="24"/>
    </w:rPr>
  </w:style>
  <w:style w:type="character" w:customStyle="1" w:styleId="121">
    <w:name w:val="Footer-Even Char2"/>
    <w:autoRedefine/>
    <w:qFormat/>
    <w:uiPriority w:val="0"/>
    <w:rPr>
      <w:kern w:val="2"/>
      <w:sz w:val="18"/>
      <w:szCs w:val="18"/>
    </w:rPr>
  </w:style>
  <w:style w:type="character" w:customStyle="1" w:styleId="122">
    <w:name w:val="书籍标题1"/>
    <w:autoRedefine/>
    <w:qFormat/>
    <w:uiPriority w:val="0"/>
    <w:rPr>
      <w:b/>
      <w:bCs/>
      <w:smallCaps/>
      <w:spacing w:val="5"/>
    </w:rPr>
  </w:style>
  <w:style w:type="character" w:customStyle="1" w:styleId="123">
    <w:name w:val="页眉 字符1"/>
    <w:basedOn w:val="55"/>
    <w:semiHidden/>
    <w:qFormat/>
    <w:uiPriority w:val="99"/>
    <w:rPr>
      <w:kern w:val="2"/>
      <w:sz w:val="18"/>
      <w:szCs w:val="18"/>
    </w:rPr>
  </w:style>
  <w:style w:type="character" w:customStyle="1" w:styleId="124">
    <w:name w:val="不明显强调2"/>
    <w:qFormat/>
    <w:uiPriority w:val="0"/>
    <w:rPr>
      <w:i/>
      <w:iCs/>
      <w:color w:val="808080"/>
    </w:rPr>
  </w:style>
  <w:style w:type="character" w:customStyle="1" w:styleId="125">
    <w:name w:val="正文文本缩进 字符"/>
    <w:qFormat/>
    <w:uiPriority w:val="0"/>
    <w:rPr>
      <w:rFonts w:eastAsia="宋体"/>
      <w:kern w:val="2"/>
      <w:sz w:val="24"/>
      <w:szCs w:val="24"/>
      <w:lang w:val="en-US" w:eastAsia="zh-CN" w:bidi="ar-SA"/>
    </w:rPr>
  </w:style>
  <w:style w:type="character" w:customStyle="1" w:styleId="126">
    <w:name w:val="Char Char12"/>
    <w:qFormat/>
    <w:uiPriority w:val="0"/>
    <w:rPr>
      <w:rFonts w:eastAsia="宋体"/>
      <w:kern w:val="2"/>
      <w:sz w:val="21"/>
      <w:szCs w:val="24"/>
      <w:lang w:val="en-US" w:eastAsia="zh-CN" w:bidi="ar-SA"/>
    </w:rPr>
  </w:style>
  <w:style w:type="character" w:customStyle="1" w:styleId="127">
    <w:name w:val="明显引用 Char"/>
    <w:link w:val="128"/>
    <w:autoRedefine/>
    <w:qFormat/>
    <w:uiPriority w:val="0"/>
    <w:rPr>
      <w:b/>
      <w:bCs/>
      <w:i/>
      <w:iCs/>
      <w:color w:val="4F81BD"/>
    </w:rPr>
  </w:style>
  <w:style w:type="paragraph" w:customStyle="1" w:styleId="128">
    <w:name w:val="明显引用1"/>
    <w:basedOn w:val="1"/>
    <w:next w:val="1"/>
    <w:link w:val="127"/>
    <w:qFormat/>
    <w:uiPriority w:val="0"/>
    <w:pPr>
      <w:pBdr>
        <w:bottom w:val="single" w:color="4F81BD" w:sz="4" w:space="4"/>
      </w:pBdr>
      <w:spacing w:before="200" w:after="280"/>
      <w:ind w:left="936" w:right="936"/>
    </w:pPr>
    <w:rPr>
      <w:rFonts w:ascii="Times New Roman" w:hAnsi="Times New Roman"/>
      <w:b/>
      <w:bCs/>
      <w:i/>
      <w:iCs/>
      <w:color w:val="4F81BD"/>
      <w:kern w:val="0"/>
      <w:sz w:val="20"/>
      <w:szCs w:val="20"/>
    </w:rPr>
  </w:style>
  <w:style w:type="character" w:customStyle="1" w:styleId="129">
    <w:name w:val="正文首行缩进 Char"/>
    <w:link w:val="52"/>
    <w:autoRedefine/>
    <w:qFormat/>
    <w:uiPriority w:val="0"/>
  </w:style>
  <w:style w:type="character" w:customStyle="1" w:styleId="130">
    <w:name w:val="heading 5 Char2"/>
    <w:autoRedefine/>
    <w:qFormat/>
    <w:uiPriority w:val="0"/>
    <w:rPr>
      <w:b/>
      <w:bCs/>
      <w:kern w:val="2"/>
      <w:sz w:val="28"/>
      <w:szCs w:val="28"/>
    </w:rPr>
  </w:style>
  <w:style w:type="character" w:customStyle="1" w:styleId="131">
    <w:name w:val="heading 1 Char1"/>
    <w:autoRedefine/>
    <w:qFormat/>
    <w:uiPriority w:val="0"/>
    <w:rPr>
      <w:rFonts w:eastAsia="宋体"/>
      <w:b/>
      <w:bCs/>
      <w:kern w:val="44"/>
      <w:sz w:val="44"/>
      <w:szCs w:val="44"/>
      <w:lang w:val="en-US" w:eastAsia="zh-CN" w:bidi="ar-SA"/>
    </w:rPr>
  </w:style>
  <w:style w:type="character" w:customStyle="1" w:styleId="132">
    <w:name w:val="Char Char201"/>
    <w:qFormat/>
    <w:uiPriority w:val="0"/>
    <w:rPr>
      <w:rFonts w:ascii="Cambria" w:hAnsi="Cambria" w:eastAsia="宋体" w:cs="Times New Roman"/>
      <w:b/>
      <w:bCs/>
      <w:sz w:val="32"/>
      <w:szCs w:val="32"/>
    </w:rPr>
  </w:style>
  <w:style w:type="character" w:customStyle="1" w:styleId="133">
    <w:name w:val="Char Char18"/>
    <w:qFormat/>
    <w:uiPriority w:val="0"/>
    <w:rPr>
      <w:b/>
      <w:bCs/>
      <w:kern w:val="2"/>
      <w:sz w:val="32"/>
      <w:szCs w:val="32"/>
    </w:rPr>
  </w:style>
  <w:style w:type="character" w:customStyle="1" w:styleId="134">
    <w:name w:val="Plain Text Char"/>
    <w:qFormat/>
    <w:uiPriority w:val="0"/>
    <w:rPr>
      <w:rFonts w:ascii="宋体" w:hAnsi="Courier New" w:eastAsia="宋体" w:cs="Times New Roman"/>
      <w:sz w:val="21"/>
      <w:szCs w:val="21"/>
    </w:rPr>
  </w:style>
  <w:style w:type="character" w:customStyle="1" w:styleId="135">
    <w:name w:val="称呼 字符1"/>
    <w:basedOn w:val="55"/>
    <w:semiHidden/>
    <w:qFormat/>
    <w:uiPriority w:val="99"/>
    <w:rPr>
      <w:rFonts w:ascii="Calibri" w:hAnsi="Calibri" w:eastAsia="宋体" w:cs="Times New Roman"/>
      <w:szCs w:val="24"/>
    </w:rPr>
  </w:style>
  <w:style w:type="character" w:customStyle="1" w:styleId="136">
    <w:name w:val="标题 1 Char"/>
    <w:basedOn w:val="55"/>
    <w:link w:val="3"/>
    <w:autoRedefine/>
    <w:qFormat/>
    <w:uiPriority w:val="0"/>
    <w:rPr>
      <w:rFonts w:ascii="Calibri" w:hAnsi="Calibri" w:eastAsia="黑体" w:cs="Times New Roman"/>
      <w:b/>
      <w:sz w:val="32"/>
      <w:szCs w:val="20"/>
    </w:rPr>
  </w:style>
  <w:style w:type="character" w:customStyle="1" w:styleId="137">
    <w:name w:val="heading 4 Char1"/>
    <w:autoRedefine/>
    <w:qFormat/>
    <w:uiPriority w:val="0"/>
    <w:rPr>
      <w:rFonts w:ascii="Cambria" w:hAnsi="Cambria" w:eastAsia="宋体"/>
      <w:b/>
      <w:bCs/>
      <w:kern w:val="2"/>
      <w:sz w:val="28"/>
      <w:szCs w:val="28"/>
      <w:lang w:val="en-US" w:eastAsia="zh-CN" w:bidi="ar-SA"/>
    </w:rPr>
  </w:style>
  <w:style w:type="character" w:customStyle="1" w:styleId="138">
    <w:name w:val="PI Char"/>
    <w:autoRedefine/>
    <w:qFormat/>
    <w:uiPriority w:val="0"/>
    <w:rPr>
      <w:rFonts w:ascii="宋体" w:hAnsi="宋体"/>
      <w:sz w:val="24"/>
    </w:rPr>
  </w:style>
  <w:style w:type="character" w:customStyle="1" w:styleId="139">
    <w:name w:val="纯文本 字符1"/>
    <w:basedOn w:val="55"/>
    <w:autoRedefine/>
    <w:semiHidden/>
    <w:qFormat/>
    <w:uiPriority w:val="99"/>
    <w:rPr>
      <w:rFonts w:ascii="等线" w:hAnsi="Courier New" w:cs="Courier New"/>
      <w:szCs w:val="24"/>
    </w:rPr>
  </w:style>
  <w:style w:type="character" w:customStyle="1" w:styleId="140">
    <w:name w:val="heading 4 Char2"/>
    <w:autoRedefine/>
    <w:qFormat/>
    <w:uiPriority w:val="0"/>
    <w:rPr>
      <w:rFonts w:ascii="Cambria" w:hAnsi="Cambria"/>
      <w:b/>
      <w:bCs/>
      <w:kern w:val="2"/>
      <w:sz w:val="28"/>
      <w:szCs w:val="28"/>
    </w:rPr>
  </w:style>
  <w:style w:type="character" w:customStyle="1" w:styleId="141">
    <w:name w:val="heading 6 Char1"/>
    <w:autoRedefine/>
    <w:qFormat/>
    <w:uiPriority w:val="0"/>
    <w:rPr>
      <w:rFonts w:ascii="Arial" w:hAnsi="Arial" w:eastAsia="黑体"/>
      <w:kern w:val="2"/>
      <w:sz w:val="24"/>
      <w:szCs w:val="24"/>
      <w:lang w:val="en-US" w:eastAsia="zh-CN" w:bidi="ar-SA"/>
    </w:rPr>
  </w:style>
  <w:style w:type="character" w:customStyle="1" w:styleId="142">
    <w:name w:val="style21"/>
    <w:autoRedefine/>
    <w:qFormat/>
    <w:uiPriority w:val="0"/>
    <w:rPr>
      <w:sz w:val="15"/>
      <w:szCs w:val="15"/>
    </w:rPr>
  </w:style>
  <w:style w:type="character" w:customStyle="1" w:styleId="143">
    <w:name w:val="正文文本缩进 3 Char"/>
    <w:link w:val="45"/>
    <w:autoRedefine/>
    <w:qFormat/>
    <w:uiPriority w:val="0"/>
    <w:rPr>
      <w:sz w:val="24"/>
      <w:szCs w:val="24"/>
    </w:rPr>
  </w:style>
  <w:style w:type="character" w:customStyle="1" w:styleId="144">
    <w:name w:val="明显强调11"/>
    <w:autoRedefine/>
    <w:qFormat/>
    <w:uiPriority w:val="0"/>
    <w:rPr>
      <w:b/>
      <w:bCs/>
      <w:i/>
      <w:iCs/>
      <w:color w:val="4F81BD"/>
    </w:rPr>
  </w:style>
  <w:style w:type="character" w:customStyle="1" w:styleId="145">
    <w:name w:val="smalltxt1"/>
    <w:autoRedefine/>
    <w:qFormat/>
    <w:uiPriority w:val="0"/>
    <w:rPr>
      <w:rFonts w:hint="default" w:ascii="ˎ̥" w:hAnsi="ˎ̥"/>
      <w:sz w:val="24"/>
      <w:szCs w:val="24"/>
    </w:rPr>
  </w:style>
  <w:style w:type="character" w:customStyle="1" w:styleId="146">
    <w:name w:val="font31"/>
    <w:basedOn w:val="55"/>
    <w:autoRedefine/>
    <w:qFormat/>
    <w:uiPriority w:val="0"/>
    <w:rPr>
      <w:rFonts w:hint="eastAsia" w:ascii="宋体" w:hAnsi="宋体" w:eastAsia="宋体" w:cs="宋体"/>
      <w:color w:val="000000"/>
      <w:sz w:val="24"/>
      <w:szCs w:val="24"/>
      <w:u w:val="single"/>
    </w:rPr>
  </w:style>
  <w:style w:type="character" w:customStyle="1" w:styleId="147">
    <w:name w:val="heading 2 Char"/>
    <w:autoRedefine/>
    <w:qFormat/>
    <w:uiPriority w:val="0"/>
    <w:rPr>
      <w:rFonts w:ascii="Arial" w:hAnsi="Arial" w:eastAsia="黑体" w:cs="Times New Roman"/>
      <w:sz w:val="30"/>
      <w:szCs w:val="24"/>
    </w:rPr>
  </w:style>
  <w:style w:type="character" w:customStyle="1" w:styleId="148">
    <w:name w:val="日期 字符1"/>
    <w:basedOn w:val="55"/>
    <w:autoRedefine/>
    <w:semiHidden/>
    <w:qFormat/>
    <w:uiPriority w:val="99"/>
    <w:rPr>
      <w:rFonts w:ascii="Calibri" w:hAnsi="Calibri" w:eastAsia="宋体" w:cs="Times New Roman"/>
      <w:szCs w:val="24"/>
    </w:rPr>
  </w:style>
  <w:style w:type="character" w:customStyle="1" w:styleId="149">
    <w:name w:val="Char Char6"/>
    <w:autoRedefine/>
    <w:qFormat/>
    <w:uiPriority w:val="0"/>
    <w:rPr>
      <w:rFonts w:ascii="Times New Roman" w:hAnsi="Times New Roman" w:eastAsia="宋体" w:cs="Times New Roman"/>
      <w:szCs w:val="24"/>
    </w:rPr>
  </w:style>
  <w:style w:type="character" w:customStyle="1" w:styleId="150">
    <w:name w:val="样式 宋体"/>
    <w:autoRedefine/>
    <w:qFormat/>
    <w:uiPriority w:val="0"/>
    <w:rPr>
      <w:rFonts w:ascii="宋体" w:hAnsi="宋体" w:eastAsia="宋体"/>
      <w:sz w:val="24"/>
      <w:szCs w:val="24"/>
    </w:rPr>
  </w:style>
  <w:style w:type="character" w:customStyle="1" w:styleId="151">
    <w:name w:val="heading 7 Char1"/>
    <w:autoRedefine/>
    <w:qFormat/>
    <w:uiPriority w:val="0"/>
    <w:rPr>
      <w:rFonts w:ascii="Arial" w:hAnsi="Arial" w:eastAsia="黑体"/>
      <w:sz w:val="21"/>
      <w:szCs w:val="21"/>
      <w:lang w:val="en-US" w:eastAsia="zh-CN" w:bidi="ar-SA"/>
    </w:rPr>
  </w:style>
  <w:style w:type="character" w:customStyle="1" w:styleId="152">
    <w:name w:val="批注主题 Char"/>
    <w:link w:val="51"/>
    <w:autoRedefine/>
    <w:qFormat/>
    <w:uiPriority w:val="0"/>
    <w:rPr>
      <w:b/>
      <w:bCs/>
      <w:szCs w:val="24"/>
    </w:rPr>
  </w:style>
  <w:style w:type="character" w:customStyle="1" w:styleId="153">
    <w:name w:val="正文缩进 Char"/>
    <w:link w:val="9"/>
    <w:autoRedefine/>
    <w:qFormat/>
    <w:uiPriority w:val="0"/>
    <w:rPr>
      <w:rFonts w:ascii="Calibri" w:hAnsi="Calibri" w:eastAsia="宋体" w:cs="Times New Roman"/>
      <w:szCs w:val="24"/>
    </w:rPr>
  </w:style>
  <w:style w:type="character" w:customStyle="1" w:styleId="154">
    <w:name w:val="Char Char Char Char Char Char Char Char Char"/>
    <w:autoRedefine/>
    <w:qFormat/>
    <w:uiPriority w:val="0"/>
    <w:rPr>
      <w:rFonts w:ascii="宋体" w:hAnsi="Courier New" w:eastAsia="宋体"/>
      <w:sz w:val="21"/>
      <w:szCs w:val="21"/>
      <w:lang w:val="en-US" w:eastAsia="zh-CN" w:bidi="ar-SA"/>
    </w:rPr>
  </w:style>
  <w:style w:type="character" w:customStyle="1" w:styleId="155">
    <w:name w:val="PI Char2"/>
    <w:autoRedefine/>
    <w:qFormat/>
    <w:uiPriority w:val="0"/>
    <w:rPr>
      <w:kern w:val="2"/>
      <w:sz w:val="24"/>
      <w:szCs w:val="24"/>
    </w:rPr>
  </w:style>
  <w:style w:type="character" w:customStyle="1" w:styleId="156">
    <w:name w:val="正文文本缩进 3 字符1"/>
    <w:basedOn w:val="55"/>
    <w:autoRedefine/>
    <w:semiHidden/>
    <w:qFormat/>
    <w:uiPriority w:val="99"/>
    <w:rPr>
      <w:rFonts w:ascii="Calibri" w:hAnsi="Calibri" w:eastAsia="宋体" w:cs="Times New Roman"/>
      <w:sz w:val="16"/>
      <w:szCs w:val="16"/>
    </w:rPr>
  </w:style>
  <w:style w:type="character" w:customStyle="1" w:styleId="157">
    <w:name w:val="引用 Char"/>
    <w:link w:val="158"/>
    <w:autoRedefine/>
    <w:qFormat/>
    <w:uiPriority w:val="0"/>
    <w:rPr>
      <w:i/>
      <w:iCs/>
      <w:color w:val="000000"/>
    </w:rPr>
  </w:style>
  <w:style w:type="paragraph" w:customStyle="1" w:styleId="158">
    <w:name w:val="引用1"/>
    <w:basedOn w:val="1"/>
    <w:next w:val="1"/>
    <w:link w:val="157"/>
    <w:autoRedefine/>
    <w:qFormat/>
    <w:uiPriority w:val="0"/>
    <w:rPr>
      <w:rFonts w:ascii="Times New Roman" w:hAnsi="Times New Roman"/>
      <w:i/>
      <w:iCs/>
      <w:color w:val="000000"/>
      <w:kern w:val="0"/>
      <w:sz w:val="20"/>
      <w:szCs w:val="20"/>
    </w:rPr>
  </w:style>
  <w:style w:type="character" w:customStyle="1" w:styleId="159">
    <w:name w:val="正文文本 字符"/>
    <w:autoRedefine/>
    <w:qFormat/>
    <w:uiPriority w:val="0"/>
    <w:rPr>
      <w:rFonts w:ascii="仿宋_GB2312" w:eastAsia="宋体"/>
      <w:b/>
      <w:kern w:val="2"/>
      <w:sz w:val="21"/>
      <w:szCs w:val="24"/>
      <w:lang w:val="en-US" w:eastAsia="zh-CN" w:bidi="ar-SA"/>
    </w:rPr>
  </w:style>
  <w:style w:type="character" w:customStyle="1" w:styleId="160">
    <w:name w:val="Char Char24"/>
    <w:autoRedefine/>
    <w:qFormat/>
    <w:uiPriority w:val="0"/>
    <w:rPr>
      <w:rFonts w:eastAsia="宋体"/>
      <w:b/>
      <w:kern w:val="2"/>
      <w:sz w:val="28"/>
      <w:lang w:val="en-US" w:eastAsia="zh-CN" w:bidi="ar-SA"/>
    </w:rPr>
  </w:style>
  <w:style w:type="character" w:customStyle="1" w:styleId="161">
    <w:name w:val="明显参考1"/>
    <w:autoRedefine/>
    <w:qFormat/>
    <w:uiPriority w:val="0"/>
    <w:rPr>
      <w:b/>
      <w:bCs/>
      <w:smallCaps/>
      <w:color w:val="C0504D"/>
      <w:spacing w:val="5"/>
      <w:u w:val="single"/>
    </w:rPr>
  </w:style>
  <w:style w:type="character" w:customStyle="1" w:styleId="162">
    <w:name w:val="heading 3 Char1"/>
    <w:autoRedefine/>
    <w:qFormat/>
    <w:uiPriority w:val="0"/>
    <w:rPr>
      <w:rFonts w:eastAsia="宋体"/>
      <w:b/>
      <w:bCs/>
      <w:kern w:val="2"/>
      <w:sz w:val="32"/>
      <w:szCs w:val="32"/>
      <w:lang w:val="en-US" w:eastAsia="zh-CN" w:bidi="ar-SA"/>
    </w:rPr>
  </w:style>
  <w:style w:type="character" w:customStyle="1" w:styleId="163">
    <w:name w:val="textcolor1"/>
    <w:autoRedefine/>
    <w:qFormat/>
    <w:uiPriority w:val="0"/>
    <w:rPr>
      <w:rFonts w:ascii="仿宋_GB2312" w:eastAsia="仿宋_GB2312"/>
      <w:b/>
      <w:color w:val="FF6600"/>
      <w:sz w:val="32"/>
      <w:szCs w:val="32"/>
    </w:rPr>
  </w:style>
  <w:style w:type="character" w:customStyle="1" w:styleId="164">
    <w:name w:val="标题 字符1"/>
    <w:basedOn w:val="55"/>
    <w:autoRedefine/>
    <w:qFormat/>
    <w:uiPriority w:val="10"/>
    <w:rPr>
      <w:rFonts w:ascii="等线 Light" w:hAnsi="等线 Light" w:eastAsia="等线 Light" w:cs="Times New Roman"/>
      <w:b/>
      <w:bCs/>
      <w:sz w:val="32"/>
      <w:szCs w:val="32"/>
    </w:rPr>
  </w:style>
  <w:style w:type="character" w:customStyle="1" w:styleId="165">
    <w:name w:val="dandyren_title1"/>
    <w:autoRedefine/>
    <w:qFormat/>
    <w:uiPriority w:val="0"/>
    <w:rPr>
      <w:b/>
      <w:bCs/>
      <w:color w:val="FF6633"/>
      <w:sz w:val="18"/>
      <w:szCs w:val="18"/>
    </w:rPr>
  </w:style>
  <w:style w:type="character" w:customStyle="1" w:styleId="166">
    <w:name w:val="明显引用 字符1"/>
    <w:basedOn w:val="55"/>
    <w:autoRedefine/>
    <w:qFormat/>
    <w:uiPriority w:val="30"/>
    <w:rPr>
      <w:rFonts w:ascii="Calibri" w:hAnsi="Calibri" w:eastAsia="宋体" w:cs="Times New Roman"/>
      <w:i/>
      <w:iCs/>
      <w:color w:val="5B9BD5"/>
      <w:szCs w:val="24"/>
    </w:rPr>
  </w:style>
  <w:style w:type="character" w:customStyle="1" w:styleId="167">
    <w:name w:val="Char Char16"/>
    <w:autoRedefine/>
    <w:qFormat/>
    <w:uiPriority w:val="0"/>
    <w:rPr>
      <w:b/>
      <w:bCs/>
      <w:kern w:val="2"/>
      <w:sz w:val="28"/>
      <w:szCs w:val="28"/>
    </w:rPr>
  </w:style>
  <w:style w:type="character" w:customStyle="1" w:styleId="168">
    <w:name w:val="副标题 Char"/>
    <w:link w:val="41"/>
    <w:qFormat/>
    <w:uiPriority w:val="0"/>
    <w:rPr>
      <w:rFonts w:ascii="Cambria" w:hAnsi="Cambria"/>
      <w:b/>
      <w:bCs/>
      <w:kern w:val="28"/>
      <w:sz w:val="32"/>
      <w:szCs w:val="32"/>
    </w:rPr>
  </w:style>
  <w:style w:type="character" w:customStyle="1" w:styleId="169">
    <w:name w:val="签名 字符1"/>
    <w:basedOn w:val="55"/>
    <w:semiHidden/>
    <w:qFormat/>
    <w:uiPriority w:val="99"/>
    <w:rPr>
      <w:rFonts w:ascii="Calibri" w:hAnsi="Calibri" w:eastAsia="宋体" w:cs="Times New Roman"/>
      <w:szCs w:val="24"/>
    </w:rPr>
  </w:style>
  <w:style w:type="character" w:customStyle="1" w:styleId="170">
    <w:name w:val="heading 4 Char"/>
    <w:qFormat/>
    <w:uiPriority w:val="0"/>
    <w:rPr>
      <w:rFonts w:ascii="Arial" w:hAnsi="Arial" w:eastAsia="黑体" w:cs="Times New Roman"/>
      <w:sz w:val="21"/>
      <w:szCs w:val="21"/>
    </w:rPr>
  </w:style>
  <w:style w:type="character" w:customStyle="1" w:styleId="171">
    <w:name w:val="明显参考11"/>
    <w:qFormat/>
    <w:uiPriority w:val="0"/>
    <w:rPr>
      <w:b/>
      <w:bCs/>
      <w:smallCaps/>
      <w:color w:val="C0504D"/>
      <w:spacing w:val="5"/>
      <w:u w:val="single"/>
    </w:rPr>
  </w:style>
  <w:style w:type="character" w:customStyle="1" w:styleId="172">
    <w:name w:val="pt141"/>
    <w:qFormat/>
    <w:uiPriority w:val="0"/>
    <w:rPr>
      <w:color w:val="330066"/>
      <w:spacing w:val="450"/>
      <w:sz w:val="22"/>
      <w:szCs w:val="22"/>
    </w:rPr>
  </w:style>
  <w:style w:type="character" w:customStyle="1" w:styleId="173">
    <w:name w:val="页脚 Char"/>
    <w:basedOn w:val="55"/>
    <w:link w:val="36"/>
    <w:qFormat/>
    <w:uiPriority w:val="0"/>
    <w:rPr>
      <w:sz w:val="18"/>
      <w:szCs w:val="18"/>
    </w:rPr>
  </w:style>
  <w:style w:type="character" w:customStyle="1" w:styleId="174">
    <w:name w:val="正文1 Char Char"/>
    <w:link w:val="175"/>
    <w:qFormat/>
    <w:uiPriority w:val="0"/>
    <w:rPr>
      <w:rFonts w:ascii="宋体" w:hAnsi="宋体" w:cs="宋体"/>
    </w:rPr>
  </w:style>
  <w:style w:type="paragraph" w:customStyle="1" w:styleId="175">
    <w:name w:val="正文1"/>
    <w:basedOn w:val="1"/>
    <w:link w:val="174"/>
    <w:qFormat/>
    <w:uiPriority w:val="0"/>
    <w:pPr>
      <w:widowControl/>
      <w:spacing w:line="360" w:lineRule="auto"/>
      <w:ind w:left="360" w:firstLine="420"/>
      <w:jc w:val="left"/>
    </w:pPr>
    <w:rPr>
      <w:rFonts w:ascii="宋体" w:hAnsi="宋体"/>
      <w:kern w:val="0"/>
      <w:sz w:val="20"/>
      <w:szCs w:val="20"/>
    </w:rPr>
  </w:style>
  <w:style w:type="character" w:customStyle="1" w:styleId="176">
    <w:name w:val="标题 5 Char"/>
    <w:basedOn w:val="55"/>
    <w:link w:val="7"/>
    <w:qFormat/>
    <w:uiPriority w:val="0"/>
    <w:rPr>
      <w:rFonts w:ascii="Calibri" w:hAnsi="Calibri" w:eastAsia="宋体" w:cs="Times New Roman"/>
      <w:b/>
      <w:bCs/>
      <w:kern w:val="0"/>
      <w:sz w:val="28"/>
      <w:szCs w:val="28"/>
    </w:rPr>
  </w:style>
  <w:style w:type="character" w:customStyle="1" w:styleId="177">
    <w:name w:val="Char Char241"/>
    <w:qFormat/>
    <w:uiPriority w:val="0"/>
    <w:rPr>
      <w:rFonts w:eastAsia="宋体"/>
      <w:b/>
      <w:kern w:val="2"/>
      <w:sz w:val="28"/>
      <w:lang w:val="en-US" w:eastAsia="zh-CN" w:bidi="ar-SA"/>
    </w:rPr>
  </w:style>
  <w:style w:type="character" w:customStyle="1" w:styleId="178">
    <w:name w:val="Char Char Char"/>
    <w:qFormat/>
    <w:uiPriority w:val="0"/>
    <w:rPr>
      <w:rFonts w:ascii="宋体" w:hAnsi="Courier New" w:eastAsia="宋体"/>
      <w:b/>
      <w:sz w:val="21"/>
      <w:szCs w:val="21"/>
      <w:lang w:val="en-US" w:eastAsia="zh-CN" w:bidi="ar-SA"/>
    </w:rPr>
  </w:style>
  <w:style w:type="character" w:customStyle="1" w:styleId="179">
    <w:name w:val="宏文本 Char"/>
    <w:link w:val="2"/>
    <w:qFormat/>
    <w:uiPriority w:val="0"/>
    <w:rPr>
      <w:rFonts w:ascii="Courier New" w:hAnsi="Courier New" w:eastAsia="Times New Roman"/>
      <w:kern w:val="2"/>
      <w:sz w:val="24"/>
      <w:szCs w:val="24"/>
      <w:lang w:val="en-US" w:eastAsia="zh-CN" w:bidi="ar-SA"/>
    </w:rPr>
  </w:style>
  <w:style w:type="character" w:customStyle="1" w:styleId="180">
    <w:name w:val="不明显参考11"/>
    <w:qFormat/>
    <w:uiPriority w:val="0"/>
    <w:rPr>
      <w:smallCaps/>
      <w:color w:val="C0504D"/>
      <w:u w:val="single"/>
    </w:rPr>
  </w:style>
  <w:style w:type="character" w:customStyle="1" w:styleId="181">
    <w:name w:val="Char Char271"/>
    <w:qFormat/>
    <w:uiPriority w:val="0"/>
    <w:rPr>
      <w:rFonts w:eastAsia="宋体"/>
      <w:kern w:val="2"/>
      <w:sz w:val="28"/>
      <w:lang w:val="en-US" w:eastAsia="zh-CN" w:bidi="ar-SA"/>
    </w:rPr>
  </w:style>
  <w:style w:type="character" w:customStyle="1" w:styleId="182">
    <w:name w:val="Table Text Char Char"/>
    <w:link w:val="183"/>
    <w:qFormat/>
    <w:uiPriority w:val="0"/>
    <w:rPr>
      <w:lang w:eastAsia="en-US"/>
    </w:rPr>
  </w:style>
  <w:style w:type="paragraph" w:customStyle="1" w:styleId="183">
    <w:name w:val="Table Text"/>
    <w:basedOn w:val="1"/>
    <w:link w:val="182"/>
    <w:qFormat/>
    <w:uiPriority w:val="0"/>
    <w:pPr>
      <w:widowControl/>
      <w:tabs>
        <w:tab w:val="decimal" w:pos="0"/>
      </w:tabs>
      <w:overflowPunct w:val="0"/>
      <w:autoSpaceDE w:val="0"/>
      <w:autoSpaceDN w:val="0"/>
      <w:adjustRightInd w:val="0"/>
      <w:jc w:val="left"/>
      <w:textAlignment w:val="baseline"/>
    </w:pPr>
    <w:rPr>
      <w:rFonts w:ascii="Times New Roman" w:hAnsi="Times New Roman"/>
      <w:kern w:val="0"/>
      <w:sz w:val="20"/>
      <w:szCs w:val="20"/>
      <w:lang w:eastAsia="en-US"/>
    </w:rPr>
  </w:style>
  <w:style w:type="character" w:customStyle="1" w:styleId="184">
    <w:name w:val="Char Char15"/>
    <w:qFormat/>
    <w:uiPriority w:val="0"/>
    <w:rPr>
      <w:rFonts w:ascii="Arial" w:hAnsi="Arial" w:eastAsia="黑体"/>
      <w:sz w:val="24"/>
      <w:szCs w:val="24"/>
    </w:rPr>
  </w:style>
  <w:style w:type="character" w:customStyle="1" w:styleId="185">
    <w:name w:val="标题 2 Char"/>
    <w:basedOn w:val="55"/>
    <w:link w:val="4"/>
    <w:autoRedefine/>
    <w:qFormat/>
    <w:uiPriority w:val="0"/>
    <w:rPr>
      <w:rFonts w:ascii="仿宋_GB2312" w:hAnsi="Calibri" w:eastAsia="宋体" w:cs="Times New Roman"/>
      <w:b/>
      <w:sz w:val="28"/>
      <w:szCs w:val="32"/>
    </w:rPr>
  </w:style>
  <w:style w:type="character" w:customStyle="1" w:styleId="186">
    <w:name w:val="heading 5 Char1"/>
    <w:autoRedefine/>
    <w:qFormat/>
    <w:uiPriority w:val="0"/>
    <w:rPr>
      <w:rFonts w:eastAsia="宋体"/>
      <w:b/>
      <w:bCs/>
      <w:kern w:val="2"/>
      <w:sz w:val="28"/>
      <w:szCs w:val="28"/>
      <w:lang w:val="en-US" w:eastAsia="zh-CN" w:bidi="ar-SA"/>
    </w:rPr>
  </w:style>
  <w:style w:type="character" w:customStyle="1" w:styleId="187">
    <w:name w:val="Char Char61"/>
    <w:autoRedefine/>
    <w:qFormat/>
    <w:uiPriority w:val="0"/>
    <w:rPr>
      <w:rFonts w:ascii="Times New Roman" w:hAnsi="Times New Roman" w:eastAsia="宋体" w:cs="Times New Roman"/>
      <w:szCs w:val="24"/>
    </w:rPr>
  </w:style>
  <w:style w:type="character" w:customStyle="1" w:styleId="188">
    <w:name w:val="style13"/>
    <w:basedOn w:val="55"/>
    <w:autoRedefine/>
    <w:qFormat/>
    <w:uiPriority w:val="0"/>
  </w:style>
  <w:style w:type="character" w:customStyle="1" w:styleId="189">
    <w:name w:val="不明显参考1"/>
    <w:autoRedefine/>
    <w:qFormat/>
    <w:uiPriority w:val="0"/>
    <w:rPr>
      <w:smallCaps/>
      <w:color w:val="C0504D"/>
      <w:u w:val="single"/>
    </w:rPr>
  </w:style>
  <w:style w:type="character" w:customStyle="1" w:styleId="190">
    <w:name w:val="Footer-Even Char1"/>
    <w:autoRedefine/>
    <w:qFormat/>
    <w:uiPriority w:val="0"/>
    <w:rPr>
      <w:rFonts w:eastAsia="宋体"/>
      <w:kern w:val="2"/>
      <w:sz w:val="18"/>
      <w:szCs w:val="18"/>
      <w:lang w:val="en-US" w:eastAsia="zh-CN" w:bidi="ar-SA"/>
    </w:rPr>
  </w:style>
  <w:style w:type="character" w:customStyle="1" w:styleId="191">
    <w:name w:val="正文文本缩进 2 Char"/>
    <w:link w:val="34"/>
    <w:autoRedefine/>
    <w:qFormat/>
    <w:uiPriority w:val="0"/>
    <w:rPr>
      <w:sz w:val="24"/>
      <w:szCs w:val="24"/>
    </w:rPr>
  </w:style>
  <w:style w:type="character" w:customStyle="1" w:styleId="192">
    <w:name w:val="标题 9 Char"/>
    <w:basedOn w:val="55"/>
    <w:link w:val="12"/>
    <w:qFormat/>
    <w:uiPriority w:val="0"/>
    <w:rPr>
      <w:rFonts w:ascii="Arial" w:hAnsi="Arial" w:eastAsia="黑体" w:cs="Times New Roman"/>
      <w:szCs w:val="20"/>
    </w:rPr>
  </w:style>
  <w:style w:type="character" w:customStyle="1" w:styleId="193">
    <w:name w:val="Ò³Ã¼ Char Char"/>
    <w:qFormat/>
    <w:uiPriority w:val="0"/>
    <w:rPr>
      <w:sz w:val="18"/>
      <w:szCs w:val="18"/>
    </w:rPr>
  </w:style>
  <w:style w:type="character" w:customStyle="1" w:styleId="194">
    <w:name w:val="标题 6 Char"/>
    <w:basedOn w:val="55"/>
    <w:link w:val="8"/>
    <w:qFormat/>
    <w:uiPriority w:val="0"/>
    <w:rPr>
      <w:rFonts w:ascii="Arial" w:hAnsi="Arial" w:eastAsia="黑体" w:cs="Times New Roman"/>
      <w:b/>
      <w:sz w:val="24"/>
      <w:szCs w:val="20"/>
    </w:rPr>
  </w:style>
  <w:style w:type="character" w:customStyle="1" w:styleId="195">
    <w:name w:val="正文文本 2 Char"/>
    <w:basedOn w:val="55"/>
    <w:link w:val="48"/>
    <w:qFormat/>
    <w:uiPriority w:val="0"/>
  </w:style>
  <w:style w:type="character" w:customStyle="1" w:styleId="196">
    <w:name w:val="Style3"/>
    <w:qFormat/>
    <w:uiPriority w:val="0"/>
    <w:rPr>
      <w:rFonts w:ascii="Calibri" w:hAnsi="宋体" w:eastAsia="宋体" w:cs="Times New Roman"/>
      <w:szCs w:val="22"/>
      <w:lang w:eastAsia="zh-CN"/>
    </w:rPr>
  </w:style>
  <w:style w:type="character" w:customStyle="1" w:styleId="197">
    <w:name w:val="样式 标题 3 + 黑体 小四 Char Char"/>
    <w:link w:val="198"/>
    <w:qFormat/>
    <w:uiPriority w:val="0"/>
    <w:rPr>
      <w:rFonts w:ascii="黑体" w:hAnsi="Arial" w:eastAsia="黑体"/>
      <w:bCs/>
      <w:sz w:val="24"/>
      <w:szCs w:val="24"/>
    </w:rPr>
  </w:style>
  <w:style w:type="paragraph" w:customStyle="1" w:styleId="198">
    <w:name w:val="样式 标题 3 + 黑体 小四"/>
    <w:basedOn w:val="5"/>
    <w:link w:val="197"/>
    <w:qFormat/>
    <w:uiPriority w:val="0"/>
    <w:pPr>
      <w:spacing w:before="260" w:after="260" w:line="413" w:lineRule="auto"/>
    </w:pPr>
    <w:rPr>
      <w:rFonts w:ascii="黑体" w:hAnsi="Arial"/>
      <w:b w:val="0"/>
      <w:bCs/>
      <w:kern w:val="0"/>
      <w:sz w:val="24"/>
      <w:szCs w:val="24"/>
    </w:rPr>
  </w:style>
  <w:style w:type="character" w:customStyle="1" w:styleId="199">
    <w:name w:val="Char Char41"/>
    <w:qFormat/>
    <w:uiPriority w:val="0"/>
    <w:rPr>
      <w:rFonts w:ascii="Cambria" w:hAnsi="Cambria" w:eastAsia="宋体"/>
      <w:b/>
      <w:bCs/>
      <w:sz w:val="32"/>
      <w:szCs w:val="32"/>
      <w:lang w:bidi="ar-SA"/>
    </w:rPr>
  </w:style>
  <w:style w:type="character" w:customStyle="1" w:styleId="200">
    <w:name w:val="gray6"/>
    <w:basedOn w:val="55"/>
    <w:qFormat/>
    <w:uiPriority w:val="0"/>
  </w:style>
  <w:style w:type="character" w:customStyle="1" w:styleId="201">
    <w:name w:val="标题 4 Char"/>
    <w:basedOn w:val="55"/>
    <w:link w:val="6"/>
    <w:qFormat/>
    <w:uiPriority w:val="0"/>
    <w:rPr>
      <w:rFonts w:ascii="Calibri" w:hAnsi="Calibri" w:eastAsia="宋体" w:cs="Times New Roman"/>
      <w:sz w:val="28"/>
      <w:szCs w:val="28"/>
    </w:rPr>
  </w:style>
  <w:style w:type="character" w:customStyle="1" w:styleId="202">
    <w:name w:val="PI Char1"/>
    <w:autoRedefine/>
    <w:qFormat/>
    <w:uiPriority w:val="0"/>
    <w:rPr>
      <w:rFonts w:eastAsia="宋体"/>
      <w:kern w:val="2"/>
      <w:sz w:val="24"/>
      <w:szCs w:val="24"/>
      <w:lang w:val="en-US" w:eastAsia="zh-CN" w:bidi="ar-SA"/>
    </w:rPr>
  </w:style>
  <w:style w:type="character" w:customStyle="1" w:styleId="203">
    <w:name w:val="ändrad Char"/>
    <w:qFormat/>
    <w:uiPriority w:val="0"/>
    <w:rPr>
      <w:rFonts w:eastAsia="宋体"/>
      <w:kern w:val="2"/>
      <w:sz w:val="21"/>
      <w:szCs w:val="24"/>
      <w:lang w:val="en-US" w:eastAsia="zh-CN" w:bidi="ar-SA"/>
    </w:rPr>
  </w:style>
  <w:style w:type="character" w:customStyle="1" w:styleId="204">
    <w:name w:val="style111"/>
    <w:qFormat/>
    <w:uiPriority w:val="0"/>
    <w:rPr>
      <w:sz w:val="27"/>
      <w:szCs w:val="27"/>
    </w:rPr>
  </w:style>
  <w:style w:type="character" w:customStyle="1" w:styleId="205">
    <w:name w:val="不明显强调1"/>
    <w:qFormat/>
    <w:uiPriority w:val="0"/>
    <w:rPr>
      <w:i/>
      <w:iCs/>
      <w:color w:val="808080"/>
    </w:rPr>
  </w:style>
  <w:style w:type="character" w:customStyle="1" w:styleId="206">
    <w:name w:val="Char Char19"/>
    <w:qFormat/>
    <w:uiPriority w:val="0"/>
    <w:rPr>
      <w:rFonts w:ascii="Cambria" w:hAnsi="Cambria"/>
      <w:b/>
      <w:bCs/>
      <w:kern w:val="2"/>
      <w:sz w:val="32"/>
      <w:szCs w:val="32"/>
    </w:rPr>
  </w:style>
  <w:style w:type="character" w:customStyle="1" w:styleId="207">
    <w:name w:val="正文文本 2 字符1"/>
    <w:basedOn w:val="55"/>
    <w:semiHidden/>
    <w:qFormat/>
    <w:uiPriority w:val="99"/>
    <w:rPr>
      <w:rFonts w:ascii="Calibri" w:hAnsi="Calibri" w:eastAsia="宋体" w:cs="Times New Roman"/>
      <w:szCs w:val="24"/>
    </w:rPr>
  </w:style>
  <w:style w:type="character" w:customStyle="1" w:styleId="208">
    <w:name w:val="正文文本 Char"/>
    <w:basedOn w:val="55"/>
    <w:link w:val="21"/>
    <w:qFormat/>
    <w:uiPriority w:val="0"/>
    <w:rPr>
      <w:rFonts w:ascii="Calibri" w:hAnsi="Calibri" w:eastAsia="宋体" w:cs="Times New Roman"/>
      <w:szCs w:val="24"/>
    </w:rPr>
  </w:style>
  <w:style w:type="character" w:customStyle="1" w:styleId="209">
    <w:name w:val="正文首行缩进 字符1"/>
    <w:basedOn w:val="208"/>
    <w:semiHidden/>
    <w:qFormat/>
    <w:uiPriority w:val="99"/>
    <w:rPr>
      <w:rFonts w:ascii="Calibri" w:hAnsi="Calibri" w:eastAsia="宋体" w:cs="Times New Roman"/>
      <w:szCs w:val="24"/>
    </w:rPr>
  </w:style>
  <w:style w:type="character" w:customStyle="1" w:styleId="210">
    <w:name w:val="Char Char Char1"/>
    <w:qFormat/>
    <w:uiPriority w:val="0"/>
    <w:rPr>
      <w:rFonts w:ascii="宋体" w:hAnsi="Courier New"/>
      <w:sz w:val="21"/>
      <w:szCs w:val="21"/>
    </w:rPr>
  </w:style>
  <w:style w:type="character" w:customStyle="1" w:styleId="211">
    <w:name w:val="heading 1 Char2"/>
    <w:qFormat/>
    <w:uiPriority w:val="0"/>
    <w:rPr>
      <w:b/>
      <w:bCs/>
      <w:kern w:val="44"/>
      <w:sz w:val="44"/>
      <w:szCs w:val="44"/>
    </w:rPr>
  </w:style>
  <w:style w:type="character" w:customStyle="1" w:styleId="212">
    <w:name w:val="Char Char22"/>
    <w:qFormat/>
    <w:uiPriority w:val="0"/>
    <w:rPr>
      <w:rFonts w:ascii="Arial" w:hAnsi="Arial" w:eastAsia="黑体"/>
      <w:b/>
      <w:bCs/>
      <w:kern w:val="44"/>
      <w:sz w:val="30"/>
      <w:szCs w:val="44"/>
      <w:lang w:val="en-US" w:eastAsia="zh-CN" w:bidi="ar-SA"/>
    </w:rPr>
  </w:style>
  <w:style w:type="character" w:customStyle="1" w:styleId="213">
    <w:name w:val="页脚 字符1"/>
    <w:basedOn w:val="55"/>
    <w:semiHidden/>
    <w:qFormat/>
    <w:uiPriority w:val="99"/>
    <w:rPr>
      <w:kern w:val="2"/>
      <w:sz w:val="18"/>
      <w:szCs w:val="18"/>
    </w:rPr>
  </w:style>
  <w:style w:type="character" w:customStyle="1" w:styleId="214">
    <w:name w:val="Char Char17"/>
    <w:qFormat/>
    <w:uiPriority w:val="0"/>
    <w:rPr>
      <w:rFonts w:ascii="Cambria" w:hAnsi="Cambria"/>
      <w:b/>
      <w:bCs/>
      <w:kern w:val="2"/>
      <w:sz w:val="28"/>
      <w:szCs w:val="28"/>
    </w:rPr>
  </w:style>
  <w:style w:type="character" w:customStyle="1" w:styleId="215">
    <w:name w:val="heading 3 Char2"/>
    <w:qFormat/>
    <w:uiPriority w:val="0"/>
    <w:rPr>
      <w:b/>
      <w:bCs/>
      <w:kern w:val="2"/>
      <w:sz w:val="32"/>
      <w:szCs w:val="32"/>
    </w:rPr>
  </w:style>
  <w:style w:type="character" w:customStyle="1" w:styleId="216">
    <w:name w:val="签名 Char"/>
    <w:link w:val="39"/>
    <w:qFormat/>
    <w:uiPriority w:val="0"/>
    <w:rPr>
      <w:rFonts w:ascii="仿宋_GB2312" w:eastAsia="仿宋_GB2312"/>
      <w:b/>
      <w:sz w:val="24"/>
      <w:szCs w:val="32"/>
    </w:rPr>
  </w:style>
  <w:style w:type="character" w:customStyle="1" w:styleId="217">
    <w:name w:val="批注文字 字符"/>
    <w:qFormat/>
    <w:uiPriority w:val="0"/>
    <w:rPr>
      <w:rFonts w:eastAsia="宋体"/>
      <w:kern w:val="2"/>
      <w:sz w:val="21"/>
      <w:szCs w:val="24"/>
      <w:lang w:val="en-US" w:eastAsia="zh-CN" w:bidi="ar-SA"/>
    </w:rPr>
  </w:style>
  <w:style w:type="character" w:customStyle="1" w:styleId="218">
    <w:name w:val="Char Char1"/>
    <w:qFormat/>
    <w:uiPriority w:val="0"/>
    <w:rPr>
      <w:rFonts w:eastAsia="宋体"/>
      <w:sz w:val="21"/>
      <w:lang w:val="en-US" w:eastAsia="zh-CN" w:bidi="ar-SA"/>
    </w:rPr>
  </w:style>
  <w:style w:type="character" w:customStyle="1" w:styleId="219">
    <w:name w:val="正文首行缩进 2 Char"/>
    <w:basedOn w:val="116"/>
    <w:link w:val="24"/>
    <w:qFormat/>
    <w:uiPriority w:val="0"/>
    <w:rPr>
      <w:rFonts w:ascii="Calibri" w:hAnsi="Calibri" w:eastAsia="宋体" w:cs="宋体"/>
      <w:szCs w:val="21"/>
    </w:rPr>
  </w:style>
  <w:style w:type="character" w:customStyle="1" w:styleId="220">
    <w:name w:val="表格 Char Char"/>
    <w:link w:val="221"/>
    <w:qFormat/>
    <w:uiPriority w:val="0"/>
    <w:rPr>
      <w:rFonts w:ascii="宋体" w:hAnsi="宋体"/>
    </w:rPr>
  </w:style>
  <w:style w:type="paragraph" w:customStyle="1" w:styleId="221">
    <w:name w:val="表格"/>
    <w:basedOn w:val="1"/>
    <w:link w:val="220"/>
    <w:autoRedefine/>
    <w:qFormat/>
    <w:uiPriority w:val="0"/>
    <w:pPr>
      <w:autoSpaceDE w:val="0"/>
      <w:autoSpaceDN w:val="0"/>
      <w:adjustRightInd w:val="0"/>
      <w:snapToGrid w:val="0"/>
      <w:ind w:firstLine="42" w:firstLineChars="21"/>
      <w:jc w:val="left"/>
    </w:pPr>
    <w:rPr>
      <w:rFonts w:ascii="宋体" w:hAnsi="宋体"/>
      <w:kern w:val="0"/>
      <w:sz w:val="20"/>
      <w:szCs w:val="20"/>
    </w:rPr>
  </w:style>
  <w:style w:type="character" w:customStyle="1" w:styleId="222">
    <w:name w:val="Ò³Ã¼ Char Char1"/>
    <w:qFormat/>
    <w:uiPriority w:val="0"/>
    <w:rPr>
      <w:rFonts w:eastAsia="宋体"/>
      <w:kern w:val="2"/>
      <w:sz w:val="18"/>
      <w:szCs w:val="18"/>
      <w:lang w:val="en-US" w:eastAsia="zh-CN" w:bidi="ar-SA"/>
    </w:rPr>
  </w:style>
  <w:style w:type="character" w:customStyle="1" w:styleId="223">
    <w:name w:val="Char Char27"/>
    <w:qFormat/>
    <w:uiPriority w:val="0"/>
    <w:rPr>
      <w:rFonts w:eastAsia="宋体"/>
      <w:kern w:val="2"/>
      <w:sz w:val="28"/>
      <w:lang w:val="en-US" w:eastAsia="zh-CN" w:bidi="ar-SA"/>
    </w:rPr>
  </w:style>
  <w:style w:type="paragraph" w:customStyle="1" w:styleId="224">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新宋体" w:hAnsi="新宋体" w:eastAsia="新宋体" w:cs="宋体"/>
      <w:color w:val="000000"/>
      <w:kern w:val="0"/>
      <w:sz w:val="24"/>
    </w:rPr>
  </w:style>
  <w:style w:type="paragraph" w:customStyle="1" w:styleId="225">
    <w:name w:val="列表内容"/>
    <w:basedOn w:val="1"/>
    <w:next w:val="1"/>
    <w:qFormat/>
    <w:uiPriority w:val="0"/>
    <w:pPr>
      <w:widowControl/>
      <w:autoSpaceDE w:val="0"/>
      <w:autoSpaceDN w:val="0"/>
      <w:adjustRightInd w:val="0"/>
      <w:ind w:firstLine="200"/>
      <w:jc w:val="left"/>
    </w:pPr>
    <w:rPr>
      <w:kern w:val="0"/>
      <w:sz w:val="18"/>
      <w:szCs w:val="20"/>
    </w:rPr>
  </w:style>
  <w:style w:type="paragraph" w:customStyle="1" w:styleId="226">
    <w:name w:val="Char11"/>
    <w:basedOn w:val="1"/>
    <w:qFormat/>
    <w:uiPriority w:val="0"/>
    <w:pPr>
      <w:autoSpaceDE w:val="0"/>
      <w:autoSpaceDN w:val="0"/>
      <w:adjustRightInd w:val="0"/>
      <w:jc w:val="left"/>
    </w:pPr>
    <w:rPr>
      <w:rFonts w:ascii="仿宋_GB2312" w:eastAsia="仿宋_GB2312"/>
      <w:b/>
      <w:kern w:val="0"/>
      <w:sz w:val="32"/>
      <w:szCs w:val="32"/>
    </w:rPr>
  </w:style>
  <w:style w:type="paragraph" w:customStyle="1" w:styleId="227">
    <w:name w:val="列出段落1"/>
    <w:basedOn w:val="1"/>
    <w:qFormat/>
    <w:uiPriority w:val="0"/>
    <w:pPr>
      <w:ind w:firstLine="420" w:firstLineChars="200"/>
    </w:pPr>
    <w:rPr>
      <w:szCs w:val="22"/>
    </w:rPr>
  </w:style>
  <w:style w:type="paragraph" w:customStyle="1" w:styleId="228">
    <w:name w:val="Table Paragraph"/>
    <w:basedOn w:val="1"/>
    <w:qFormat/>
    <w:uiPriority w:val="1"/>
  </w:style>
  <w:style w:type="paragraph" w:customStyle="1" w:styleId="229">
    <w:name w:val="BodyText1I"/>
    <w:basedOn w:val="230"/>
    <w:qFormat/>
    <w:uiPriority w:val="0"/>
    <w:pPr>
      <w:ind w:firstLine="420" w:firstLineChars="100"/>
    </w:pPr>
  </w:style>
  <w:style w:type="paragraph" w:customStyle="1" w:styleId="230">
    <w:name w:val="BodyText"/>
    <w:basedOn w:val="1"/>
    <w:qFormat/>
    <w:uiPriority w:val="0"/>
    <w:pPr>
      <w:spacing w:after="120"/>
    </w:pPr>
  </w:style>
  <w:style w:type="paragraph" w:customStyle="1" w:styleId="231">
    <w:name w:val="列出段落3"/>
    <w:basedOn w:val="1"/>
    <w:qFormat/>
    <w:uiPriority w:val="0"/>
    <w:pPr>
      <w:ind w:firstLine="420" w:firstLineChars="200"/>
    </w:pPr>
    <w:rPr>
      <w:lang w:val="zh-CN"/>
    </w:rPr>
  </w:style>
  <w:style w:type="paragraph" w:customStyle="1" w:styleId="232">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Cs w:val="22"/>
    </w:rPr>
  </w:style>
  <w:style w:type="paragraph" w:customStyle="1" w:styleId="233">
    <w:name w:val="前言、引言标题"/>
    <w:next w:val="1"/>
    <w:qFormat/>
    <w:uiPriority w:val="0"/>
    <w:pPr>
      <w:shd w:val="clear" w:color="FFFFFF" w:fill="FFFFFF"/>
      <w:tabs>
        <w:tab w:val="left" w:pos="3349"/>
      </w:tabs>
      <w:spacing w:before="640" w:after="560"/>
      <w:ind w:left="3349" w:hanging="720"/>
      <w:jc w:val="center"/>
      <w:outlineLvl w:val="0"/>
    </w:pPr>
    <w:rPr>
      <w:rFonts w:ascii="黑体" w:hAnsi="Calibri" w:eastAsia="黑体" w:cs="Times New Roman"/>
      <w:sz w:val="32"/>
      <w:lang w:val="en-US" w:eastAsia="zh-CN" w:bidi="ar-SA"/>
    </w:rPr>
  </w:style>
  <w:style w:type="paragraph" w:customStyle="1" w:styleId="234">
    <w:name w:val="样式 样式 正文文本缩进 + 仿宋_GB2312 小四 首行缩进:  0 厘米 行距: 1.5 倍行距 + (中文) 仿宋_GB... Char Char"/>
    <w:basedOn w:val="1"/>
    <w:autoRedefine/>
    <w:qFormat/>
    <w:uiPriority w:val="0"/>
    <w:pPr>
      <w:autoSpaceDE w:val="0"/>
      <w:autoSpaceDN w:val="0"/>
      <w:adjustRightInd w:val="0"/>
      <w:spacing w:line="360" w:lineRule="auto"/>
      <w:ind w:firstLine="480" w:firstLineChars="200"/>
      <w:jc w:val="left"/>
    </w:pPr>
    <w:rPr>
      <w:rFonts w:ascii="仿宋_GB2312" w:eastAsia="新宋体"/>
      <w:kern w:val="0"/>
      <w:sz w:val="24"/>
      <w:szCs w:val="20"/>
    </w:rPr>
  </w:style>
  <w:style w:type="paragraph" w:customStyle="1" w:styleId="235">
    <w:name w:val="列项——（一级）"/>
    <w:qFormat/>
    <w:uiPriority w:val="0"/>
    <w:pPr>
      <w:widowControl w:val="0"/>
      <w:tabs>
        <w:tab w:val="left" w:pos="854"/>
        <w:tab w:val="left" w:pos="1260"/>
      </w:tabs>
      <w:ind w:left="1260" w:hanging="420"/>
      <w:jc w:val="both"/>
    </w:pPr>
    <w:rPr>
      <w:rFonts w:ascii="宋体" w:hAnsi="Calibri" w:eastAsia="宋体" w:cs="Times New Roman"/>
      <w:sz w:val="21"/>
      <w:lang w:val="en-US" w:eastAsia="zh-CN" w:bidi="ar-SA"/>
    </w:rPr>
  </w:style>
  <w:style w:type="paragraph" w:customStyle="1" w:styleId="236">
    <w:name w:val="居中表格内容"/>
    <w:basedOn w:val="1"/>
    <w:next w:val="1"/>
    <w:qFormat/>
    <w:uiPriority w:val="0"/>
    <w:pPr>
      <w:jc w:val="left"/>
    </w:pPr>
    <w:rPr>
      <w:szCs w:val="20"/>
    </w:rPr>
  </w:style>
  <w:style w:type="paragraph" w:customStyle="1" w:styleId="237">
    <w:name w:val="Char Char"/>
    <w:basedOn w:val="1"/>
    <w:qFormat/>
    <w:uiPriority w:val="0"/>
    <w:rPr>
      <w:rFonts w:ascii="仿宋_GB2312" w:eastAsia="仿宋_GB2312"/>
      <w:b/>
      <w:sz w:val="32"/>
      <w:szCs w:val="32"/>
    </w:rPr>
  </w:style>
  <w:style w:type="paragraph" w:customStyle="1" w:styleId="238">
    <w:name w:val="样式 标题 3 + 黑色 段前: 5 磅 段后: 5 磅 行距: 1.5 倍行距"/>
    <w:basedOn w:val="1"/>
    <w:qFormat/>
    <w:uiPriority w:val="0"/>
    <w:pPr>
      <w:ind w:left="855" w:hanging="855"/>
    </w:pPr>
    <w:rPr>
      <w:sz w:val="24"/>
      <w:szCs w:val="20"/>
    </w:rPr>
  </w:style>
  <w:style w:type="paragraph" w:customStyle="1" w:styleId="239">
    <w:name w:val="此正文"/>
    <w:basedOn w:val="1"/>
    <w:autoRedefine/>
    <w:qFormat/>
    <w:uiPriority w:val="0"/>
    <w:pPr>
      <w:autoSpaceDE w:val="0"/>
      <w:autoSpaceDN w:val="0"/>
      <w:adjustRightInd w:val="0"/>
      <w:spacing w:line="360" w:lineRule="auto"/>
      <w:ind w:firstLine="200" w:firstLineChars="200"/>
      <w:jc w:val="left"/>
    </w:pPr>
    <w:rPr>
      <w:kern w:val="0"/>
      <w:sz w:val="24"/>
      <w:szCs w:val="20"/>
    </w:rPr>
  </w:style>
  <w:style w:type="paragraph" w:customStyle="1" w:styleId="240">
    <w:name w:val="标书正文带编号"/>
    <w:basedOn w:val="1"/>
    <w:qFormat/>
    <w:uiPriority w:val="0"/>
    <w:pPr>
      <w:tabs>
        <w:tab w:val="left" w:pos="397"/>
      </w:tabs>
      <w:autoSpaceDE w:val="0"/>
      <w:autoSpaceDN w:val="0"/>
      <w:adjustRightInd w:val="0"/>
      <w:ind w:firstLine="397"/>
      <w:jc w:val="left"/>
    </w:pPr>
    <w:rPr>
      <w:rFonts w:cs="宋体"/>
      <w:kern w:val="0"/>
      <w:sz w:val="20"/>
      <w:szCs w:val="21"/>
    </w:rPr>
  </w:style>
  <w:style w:type="paragraph" w:customStyle="1" w:styleId="241">
    <w:name w:val="样式1"/>
    <w:basedOn w:val="1"/>
    <w:qFormat/>
    <w:uiPriority w:val="0"/>
    <w:pPr>
      <w:autoSpaceDE w:val="0"/>
      <w:autoSpaceDN w:val="0"/>
      <w:adjustRightInd w:val="0"/>
      <w:spacing w:line="400" w:lineRule="exact"/>
    </w:pPr>
    <w:rPr>
      <w:rFonts w:ascii="宋体" w:hAnsi="Times New Roman" w:cs="宋体"/>
      <w:kern w:val="0"/>
    </w:rPr>
  </w:style>
  <w:style w:type="paragraph" w:customStyle="1" w:styleId="242">
    <w:name w:val="!正文"/>
    <w:basedOn w:val="1"/>
    <w:qFormat/>
    <w:uiPriority w:val="0"/>
    <w:pPr>
      <w:ind w:firstLine="480" w:firstLineChars="200"/>
    </w:pPr>
    <w:rPr>
      <w:szCs w:val="21"/>
    </w:rPr>
  </w:style>
  <w:style w:type="paragraph" w:customStyle="1" w:styleId="243">
    <w:name w:val="样式 左侧:  0.85 厘米 首行缩进:  0.85 厘米"/>
    <w:basedOn w:val="1"/>
    <w:qFormat/>
    <w:uiPriority w:val="0"/>
    <w:pPr>
      <w:autoSpaceDE w:val="0"/>
      <w:autoSpaceDN w:val="0"/>
      <w:adjustRightInd w:val="0"/>
      <w:spacing w:line="360" w:lineRule="auto"/>
      <w:ind w:firstLine="482"/>
      <w:jc w:val="left"/>
    </w:pPr>
    <w:rPr>
      <w:rFonts w:cs="宋体"/>
      <w:kern w:val="0"/>
      <w:sz w:val="24"/>
      <w:szCs w:val="20"/>
    </w:rPr>
  </w:style>
  <w:style w:type="paragraph" w:customStyle="1" w:styleId="244">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45">
    <w:name w:val="正文文本缩进 31"/>
    <w:basedOn w:val="1"/>
    <w:qFormat/>
    <w:uiPriority w:val="99"/>
    <w:pPr>
      <w:spacing w:line="300" w:lineRule="auto"/>
      <w:ind w:firstLine="480" w:firstLineChars="200"/>
      <w:jc w:val="left"/>
    </w:pPr>
    <w:rPr>
      <w:kern w:val="0"/>
      <w:sz w:val="24"/>
    </w:rPr>
  </w:style>
  <w:style w:type="paragraph" w:customStyle="1" w:styleId="246">
    <w:name w:val="样式5"/>
    <w:basedOn w:val="9"/>
    <w:qFormat/>
    <w:uiPriority w:val="0"/>
    <w:pPr>
      <w:spacing w:line="360" w:lineRule="auto"/>
      <w:ind w:firstLine="200"/>
    </w:pPr>
    <w:rPr>
      <w:rFonts w:ascii="仿宋_GB2312"/>
      <w:b/>
      <w:sz w:val="28"/>
      <w:szCs w:val="21"/>
    </w:rPr>
  </w:style>
  <w:style w:type="paragraph" w:customStyle="1" w:styleId="247">
    <w:name w:val="1 Char"/>
    <w:basedOn w:val="9"/>
    <w:qFormat/>
    <w:uiPriority w:val="0"/>
    <w:pPr>
      <w:spacing w:line="360" w:lineRule="auto"/>
      <w:ind w:firstLine="200"/>
    </w:pPr>
    <w:rPr>
      <w:rFonts w:ascii="仿宋_GB2312"/>
      <w:b/>
      <w:szCs w:val="32"/>
    </w:rPr>
  </w:style>
  <w:style w:type="paragraph" w:customStyle="1" w:styleId="248">
    <w:name w:val="xl8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49">
    <w:name w:val="Char"/>
    <w:basedOn w:val="1"/>
    <w:qFormat/>
    <w:uiPriority w:val="0"/>
    <w:rPr>
      <w:rFonts w:ascii="仿宋_GB2312" w:eastAsia="仿宋_GB2312"/>
      <w:b/>
      <w:sz w:val="32"/>
      <w:szCs w:val="32"/>
    </w:rPr>
  </w:style>
  <w:style w:type="paragraph" w:customStyle="1" w:styleId="250">
    <w:name w:val="纯文本1"/>
    <w:basedOn w:val="1"/>
    <w:qFormat/>
    <w:uiPriority w:val="0"/>
    <w:pPr>
      <w:adjustRightInd w:val="0"/>
      <w:textAlignment w:val="baseline"/>
    </w:pPr>
    <w:rPr>
      <w:rFonts w:ascii="宋体" w:hAnsi="Courier New" w:eastAsia="楷体_GB2312"/>
      <w:sz w:val="28"/>
      <w:szCs w:val="20"/>
    </w:rPr>
  </w:style>
  <w:style w:type="paragraph" w:customStyle="1" w:styleId="251">
    <w:name w:val="xl29"/>
    <w:basedOn w:val="1"/>
    <w:qFormat/>
    <w:uiPriority w:val="0"/>
    <w:pPr>
      <w:widowControl/>
      <w:autoSpaceDE w:val="0"/>
      <w:autoSpaceDN w:val="0"/>
      <w:adjustRightInd w:val="0"/>
      <w:spacing w:before="100" w:beforeAutospacing="1" w:after="100" w:afterAutospacing="1"/>
      <w:jc w:val="center"/>
    </w:pPr>
    <w:rPr>
      <w:rFonts w:ascii="Arial Unicode MS" w:hAnsi="Arial Unicode MS" w:eastAsia="Arial Unicode MS"/>
      <w:kern w:val="0"/>
      <w:sz w:val="24"/>
      <w:szCs w:val="20"/>
    </w:rPr>
  </w:style>
  <w:style w:type="paragraph" w:customStyle="1" w:styleId="252">
    <w:name w:val="Char Char13"/>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53">
    <w:name w:val="标题五"/>
    <w:basedOn w:val="1"/>
    <w:qFormat/>
    <w:uiPriority w:val="0"/>
    <w:pPr>
      <w:tabs>
        <w:tab w:val="left" w:pos="1440"/>
      </w:tabs>
      <w:autoSpaceDE w:val="0"/>
      <w:autoSpaceDN w:val="0"/>
      <w:adjustRightInd w:val="0"/>
      <w:spacing w:beforeLines="50" w:line="360" w:lineRule="auto"/>
      <w:ind w:left="1440" w:hanging="420"/>
      <w:jc w:val="left"/>
    </w:pPr>
    <w:rPr>
      <w:b/>
      <w:kern w:val="0"/>
      <w:sz w:val="24"/>
      <w:szCs w:val="20"/>
    </w:rPr>
  </w:style>
  <w:style w:type="paragraph" w:customStyle="1" w:styleId="254">
    <w:name w:val="正文_0"/>
    <w:qFormat/>
    <w:uiPriority w:val="0"/>
    <w:pPr>
      <w:widowControl w:val="0"/>
      <w:spacing w:line="360" w:lineRule="auto"/>
      <w:jc w:val="both"/>
    </w:pPr>
    <w:rPr>
      <w:rFonts w:ascii="Calibri" w:hAnsi="Calibri" w:eastAsia="微软雅黑" w:cs="Times New Roman"/>
      <w:kern w:val="2"/>
      <w:sz w:val="24"/>
      <w:szCs w:val="24"/>
      <w:lang w:val="en-US" w:eastAsia="zh-CN" w:bidi="ar-SA"/>
    </w:rPr>
  </w:style>
  <w:style w:type="paragraph" w:customStyle="1" w:styleId="255">
    <w:name w:val="四级条标题"/>
    <w:basedOn w:val="256"/>
    <w:next w:val="1"/>
    <w:qFormat/>
    <w:uiPriority w:val="0"/>
    <w:pPr>
      <w:tabs>
        <w:tab w:val="left" w:pos="3889"/>
        <w:tab w:val="left" w:pos="4309"/>
        <w:tab w:val="left" w:pos="4729"/>
        <w:tab w:val="left" w:pos="5149"/>
      </w:tabs>
      <w:ind w:left="5149"/>
      <w:outlineLvl w:val="5"/>
    </w:pPr>
  </w:style>
  <w:style w:type="paragraph" w:customStyle="1" w:styleId="256">
    <w:name w:val="三级条标题"/>
    <w:basedOn w:val="257"/>
    <w:next w:val="1"/>
    <w:qFormat/>
    <w:uiPriority w:val="0"/>
    <w:pPr>
      <w:tabs>
        <w:tab w:val="left" w:pos="3889"/>
        <w:tab w:val="left" w:pos="4309"/>
        <w:tab w:val="left" w:pos="4729"/>
      </w:tabs>
      <w:ind w:left="4729"/>
      <w:outlineLvl w:val="4"/>
    </w:pPr>
  </w:style>
  <w:style w:type="paragraph" w:customStyle="1" w:styleId="257">
    <w:name w:val="二级条标题"/>
    <w:basedOn w:val="258"/>
    <w:next w:val="1"/>
    <w:qFormat/>
    <w:uiPriority w:val="0"/>
    <w:pPr>
      <w:tabs>
        <w:tab w:val="left" w:pos="3889"/>
        <w:tab w:val="left" w:pos="4309"/>
      </w:tabs>
      <w:ind w:left="4309"/>
      <w:outlineLvl w:val="3"/>
    </w:pPr>
  </w:style>
  <w:style w:type="paragraph" w:customStyle="1" w:styleId="258">
    <w:name w:val="一级条标题"/>
    <w:next w:val="1"/>
    <w:qFormat/>
    <w:uiPriority w:val="0"/>
    <w:pPr>
      <w:tabs>
        <w:tab w:val="left" w:pos="3889"/>
      </w:tabs>
      <w:ind w:left="3889" w:hanging="420"/>
      <w:outlineLvl w:val="2"/>
    </w:pPr>
    <w:rPr>
      <w:rFonts w:ascii="Calibri" w:hAnsi="Calibri" w:eastAsia="黑体" w:cs="Times New Roman"/>
      <w:sz w:val="21"/>
      <w:lang w:val="en-US" w:eastAsia="zh-CN" w:bidi="ar-SA"/>
    </w:rPr>
  </w:style>
  <w:style w:type="paragraph" w:customStyle="1" w:styleId="259">
    <w:name w:val="技术报告正文"/>
    <w:basedOn w:val="1"/>
    <w:qFormat/>
    <w:uiPriority w:val="0"/>
    <w:pPr>
      <w:autoSpaceDE w:val="0"/>
      <w:autoSpaceDN w:val="0"/>
      <w:adjustRightInd w:val="0"/>
      <w:spacing w:beforeLines="50" w:line="440" w:lineRule="exact"/>
      <w:ind w:firstLine="538" w:firstLineChars="192"/>
      <w:jc w:val="left"/>
    </w:pPr>
    <w:rPr>
      <w:rFonts w:cs="Arial"/>
      <w:bCs/>
      <w:kern w:val="0"/>
      <w:sz w:val="28"/>
      <w:szCs w:val="20"/>
    </w:rPr>
  </w:style>
  <w:style w:type="paragraph" w:customStyle="1" w:styleId="260">
    <w:name w:val="l正文"/>
    <w:basedOn w:val="1"/>
    <w:qFormat/>
    <w:uiPriority w:val="0"/>
    <w:pPr>
      <w:spacing w:line="360" w:lineRule="auto"/>
      <w:ind w:firstLine="200" w:firstLineChars="200"/>
    </w:pPr>
    <w:rPr>
      <w:rFonts w:ascii="宋体" w:hAnsi="宋体"/>
      <w:sz w:val="24"/>
    </w:rPr>
  </w:style>
  <w:style w:type="paragraph" w:customStyle="1" w:styleId="261">
    <w:name w:val="正文字缩2字"/>
    <w:basedOn w:val="1"/>
    <w:qFormat/>
    <w:uiPriority w:val="0"/>
    <w:pPr>
      <w:spacing w:before="60" w:after="60" w:line="360" w:lineRule="auto"/>
      <w:ind w:left="200" w:leftChars="200" w:firstLine="200" w:firstLineChars="200"/>
    </w:pPr>
    <w:rPr>
      <w:sz w:val="24"/>
    </w:rPr>
  </w:style>
  <w:style w:type="paragraph" w:customStyle="1" w:styleId="262">
    <w:name w:val="Char Char Char Char Char Char Char Char Char Char Char Char Char Char Char Char Char Char Char1"/>
    <w:basedOn w:val="1"/>
    <w:qFormat/>
    <w:uiPriority w:val="0"/>
    <w:rPr>
      <w:rFonts w:ascii="仿宋_GB2312" w:eastAsia="仿宋_GB2312"/>
      <w:b/>
      <w:sz w:val="32"/>
      <w:szCs w:val="32"/>
    </w:rPr>
  </w:style>
  <w:style w:type="paragraph" w:customStyle="1" w:styleId="263">
    <w:name w:val="xl9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4">
    <w:name w:val="xl76"/>
    <w:basedOn w:val="1"/>
    <w:qFormat/>
    <w:uiPriority w:val="0"/>
    <w:pPr>
      <w:widowControl/>
      <w:pBdr>
        <w:top w:val="single" w:color="auto" w:sz="4" w:space="0"/>
        <w:bottom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65">
    <w:name w:val="标准小四"/>
    <w:basedOn w:val="1"/>
    <w:qFormat/>
    <w:uiPriority w:val="0"/>
    <w:pPr>
      <w:autoSpaceDE w:val="0"/>
      <w:autoSpaceDN w:val="0"/>
      <w:adjustRightInd w:val="0"/>
      <w:spacing w:line="360" w:lineRule="auto"/>
      <w:ind w:firstLine="480" w:firstLineChars="200"/>
      <w:jc w:val="left"/>
    </w:pPr>
    <w:rPr>
      <w:rFonts w:ascii="Arial" w:hAnsi="Arial"/>
      <w:kern w:val="0"/>
      <w:sz w:val="24"/>
      <w:szCs w:val="21"/>
    </w:rPr>
  </w:style>
  <w:style w:type="paragraph" w:customStyle="1" w:styleId="266">
    <w:name w:val="xl8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7">
    <w:name w:val="列出段落2"/>
    <w:basedOn w:val="1"/>
    <w:qFormat/>
    <w:uiPriority w:val="34"/>
    <w:pPr>
      <w:ind w:firstLine="420" w:firstLineChars="200"/>
    </w:pPr>
  </w:style>
  <w:style w:type="paragraph" w:customStyle="1" w:styleId="268">
    <w:name w:val="af17cgridlangnp1033langf"/>
    <w:qFormat/>
    <w:uiPriority w:val="0"/>
    <w:pPr>
      <w:widowControl w:val="0"/>
      <w:autoSpaceDE w:val="0"/>
      <w:autoSpaceDN w:val="0"/>
      <w:adjustRightInd w:val="0"/>
      <w:spacing w:before="156" w:line="360" w:lineRule="atLeast"/>
      <w:ind w:left="567" w:firstLine="510"/>
      <w:jc w:val="both"/>
    </w:pPr>
    <w:rPr>
      <w:rFonts w:ascii="Calibri" w:hAnsi="Calibri" w:eastAsia="宋体" w:cs="Times New Roman"/>
      <w:lang w:val="en-US" w:eastAsia="zh-CN" w:bidi="ar-SA"/>
    </w:rPr>
  </w:style>
  <w:style w:type="paragraph" w:customStyle="1" w:styleId="269">
    <w:name w:val="标书正文格式"/>
    <w:qFormat/>
    <w:uiPriority w:val="0"/>
    <w:pPr>
      <w:spacing w:line="360" w:lineRule="auto"/>
      <w:ind w:firstLine="200" w:firstLineChars="200"/>
    </w:pPr>
    <w:rPr>
      <w:rFonts w:ascii="Calibri" w:hAnsi="Calibri" w:eastAsia="楷体_GB2312" w:cs="Times New Roman"/>
      <w:kern w:val="2"/>
      <w:sz w:val="24"/>
      <w:szCs w:val="24"/>
      <w:lang w:val="en-US" w:eastAsia="zh-CN" w:bidi="ar-SA"/>
    </w:rPr>
  </w:style>
  <w:style w:type="paragraph" w:customStyle="1" w:styleId="270">
    <w:name w:val="Char Char Char Char Char Char Char1"/>
    <w:basedOn w:val="1"/>
    <w:qFormat/>
    <w:uiPriority w:val="0"/>
    <w:rPr>
      <w:rFonts w:ascii="仿宋_GB2312" w:eastAsia="仿宋_GB2312"/>
      <w:b/>
      <w:sz w:val="32"/>
      <w:szCs w:val="32"/>
    </w:rPr>
  </w:style>
  <w:style w:type="paragraph" w:customStyle="1" w:styleId="271">
    <w:name w:val="简单回函地址"/>
    <w:basedOn w:val="1"/>
    <w:qFormat/>
    <w:uiPriority w:val="0"/>
  </w:style>
  <w:style w:type="paragraph" w:customStyle="1" w:styleId="272">
    <w:name w:val="图"/>
    <w:basedOn w:val="1"/>
    <w:qFormat/>
    <w:uiPriority w:val="0"/>
    <w:pPr>
      <w:keepNext/>
      <w:adjustRightInd w:val="0"/>
      <w:spacing w:before="60" w:after="60" w:line="300" w:lineRule="auto"/>
      <w:jc w:val="center"/>
      <w:textAlignment w:val="center"/>
    </w:pPr>
    <w:rPr>
      <w:snapToGrid w:val="0"/>
      <w:spacing w:val="20"/>
      <w:kern w:val="0"/>
      <w:sz w:val="24"/>
      <w:szCs w:val="20"/>
      <w:lang w:val="zh-CN"/>
    </w:rPr>
  </w:style>
  <w:style w:type="paragraph" w:customStyle="1" w:styleId="273">
    <w:name w:val="样式 标题 1Level 1Level 11h1II+IHeading1H1-Heading 1Header 1..."/>
    <w:basedOn w:val="3"/>
    <w:qFormat/>
    <w:uiPriority w:val="0"/>
    <w:pPr>
      <w:keepLines/>
      <w:pageBreakBefore/>
      <w:spacing w:before="100" w:after="100" w:line="360" w:lineRule="auto"/>
      <w:ind w:left="1680" w:hanging="420"/>
      <w:jc w:val="left"/>
    </w:pPr>
    <w:rPr>
      <w:rFonts w:ascii="Arial" w:hAnsi="Arial" w:cs="宋体"/>
      <w:bCs/>
      <w:kern w:val="44"/>
      <w:sz w:val="44"/>
    </w:rPr>
  </w:style>
  <w:style w:type="paragraph" w:customStyle="1" w:styleId="274">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75">
    <w:name w:val="TOC 标题1"/>
    <w:basedOn w:val="3"/>
    <w:next w:val="1"/>
    <w:qFormat/>
    <w:uiPriority w:val="0"/>
    <w:pPr>
      <w:keepLines/>
      <w:widowControl/>
      <w:spacing w:before="480" w:line="276" w:lineRule="auto"/>
      <w:jc w:val="left"/>
      <w:outlineLvl w:val="9"/>
    </w:pPr>
    <w:rPr>
      <w:rFonts w:ascii="Cambria" w:hAnsi="Cambria" w:eastAsia="宋体"/>
      <w:bCs/>
      <w:color w:val="365F91"/>
      <w:kern w:val="0"/>
      <w:sz w:val="28"/>
      <w:szCs w:val="28"/>
    </w:rPr>
  </w:style>
  <w:style w:type="paragraph" w:customStyle="1" w:styleId="276">
    <w:name w:val="Char Char Char Char Char Char Char Char Char Char Char Char Char Char Char Char Char Char Char"/>
    <w:basedOn w:val="1"/>
    <w:qFormat/>
    <w:uiPriority w:val="0"/>
    <w:rPr>
      <w:rFonts w:ascii="仿宋_GB2312" w:eastAsia="仿宋_GB2312"/>
      <w:b/>
      <w:sz w:val="32"/>
      <w:szCs w:val="32"/>
    </w:rPr>
  </w:style>
  <w:style w:type="paragraph" w:customStyle="1" w:styleId="277">
    <w:name w:val="È±Ê¡ÎÄ±¾ Char"/>
    <w:basedOn w:val="1"/>
    <w:qFormat/>
    <w:uiPriority w:val="0"/>
    <w:pPr>
      <w:widowControl/>
      <w:overflowPunct w:val="0"/>
      <w:autoSpaceDE w:val="0"/>
      <w:autoSpaceDN w:val="0"/>
      <w:adjustRightInd w:val="0"/>
      <w:textAlignment w:val="baseline"/>
    </w:pPr>
    <w:rPr>
      <w:rFonts w:ascii="Times New Roman" w:hAnsi="Times New Roman"/>
      <w:szCs w:val="21"/>
      <w:lang w:val="zh-CN"/>
    </w:rPr>
  </w:style>
  <w:style w:type="paragraph" w:customStyle="1" w:styleId="278">
    <w:name w:val="正文文本 21"/>
    <w:basedOn w:val="1"/>
    <w:qFormat/>
    <w:uiPriority w:val="0"/>
    <w:pPr>
      <w:widowControl/>
      <w:overflowPunct w:val="0"/>
      <w:autoSpaceDE w:val="0"/>
      <w:autoSpaceDN w:val="0"/>
      <w:adjustRightInd w:val="0"/>
      <w:ind w:left="720" w:hanging="720"/>
      <w:jc w:val="left"/>
      <w:textAlignment w:val="baseline"/>
    </w:pPr>
    <w:rPr>
      <w:kern w:val="0"/>
      <w:sz w:val="24"/>
      <w:szCs w:val="20"/>
      <w:lang w:val="en-GB"/>
    </w:rPr>
  </w:style>
  <w:style w:type="paragraph" w:customStyle="1" w:styleId="279">
    <w:name w:val="xl7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bCs/>
      <w:kern w:val="0"/>
      <w:sz w:val="28"/>
      <w:szCs w:val="28"/>
    </w:rPr>
  </w:style>
  <w:style w:type="paragraph" w:customStyle="1" w:styleId="280">
    <w:name w:val="正文缩进1"/>
    <w:basedOn w:val="1"/>
    <w:next w:val="23"/>
    <w:qFormat/>
    <w:uiPriority w:val="0"/>
    <w:pPr>
      <w:autoSpaceDE w:val="0"/>
      <w:autoSpaceDN w:val="0"/>
      <w:adjustRightInd w:val="0"/>
      <w:snapToGrid w:val="0"/>
      <w:spacing w:after="120" w:line="360" w:lineRule="auto"/>
      <w:ind w:left="420" w:leftChars="200" w:firstLine="480" w:firstLineChars="200"/>
      <w:jc w:val="left"/>
    </w:pPr>
    <w:rPr>
      <w:kern w:val="0"/>
      <w:sz w:val="24"/>
      <w:szCs w:val="21"/>
    </w:rPr>
  </w:style>
  <w:style w:type="paragraph" w:customStyle="1" w:styleId="281">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82">
    <w:name w:val="样式 宋体 小四 段前: 7.8 磅 段后: 7.8 磅 行距: 1.5 倍行距"/>
    <w:basedOn w:val="1"/>
    <w:qFormat/>
    <w:uiPriority w:val="0"/>
    <w:pPr>
      <w:spacing w:line="360" w:lineRule="auto"/>
      <w:ind w:firstLine="480"/>
    </w:pPr>
    <w:rPr>
      <w:rFonts w:ascii="宋体" w:hAnsi="宋体" w:cs="宋体"/>
      <w:sz w:val="24"/>
      <w:szCs w:val="20"/>
    </w:rPr>
  </w:style>
  <w:style w:type="paragraph" w:customStyle="1" w:styleId="283">
    <w:name w:val="button"/>
    <w:basedOn w:val="1"/>
    <w:qFormat/>
    <w:uiPriority w:val="0"/>
    <w:pPr>
      <w:widowControl/>
      <w:autoSpaceDE w:val="0"/>
      <w:autoSpaceDN w:val="0"/>
      <w:adjustRightInd w:val="0"/>
      <w:spacing w:before="100" w:beforeAutospacing="1" w:after="100" w:afterAutospacing="1"/>
      <w:jc w:val="left"/>
    </w:pPr>
    <w:rPr>
      <w:rFonts w:ascii="Arial Unicode MS" w:hAnsi="Arial Unicode MS"/>
      <w:color w:val="000000"/>
      <w:kern w:val="0"/>
      <w:sz w:val="24"/>
      <w:szCs w:val="20"/>
    </w:rPr>
  </w:style>
  <w:style w:type="paragraph" w:customStyle="1" w:styleId="284">
    <w:name w:val="Table Heading"/>
    <w:qFormat/>
    <w:uiPriority w:val="0"/>
    <w:pPr>
      <w:keepNext/>
      <w:snapToGrid w:val="0"/>
      <w:spacing w:before="80" w:after="80"/>
      <w:jc w:val="center"/>
    </w:pPr>
    <w:rPr>
      <w:rFonts w:ascii="Calibri" w:hAnsi="Calibri" w:eastAsia="黑体" w:cs="Arial"/>
      <w:kern w:val="2"/>
      <w:sz w:val="18"/>
      <w:szCs w:val="18"/>
      <w:lang w:val="en-US" w:eastAsia="zh-CN" w:bidi="ar-SA"/>
    </w:rPr>
  </w:style>
  <w:style w:type="paragraph" w:customStyle="1" w:styleId="285">
    <w:name w:val="列出段落11"/>
    <w:basedOn w:val="1"/>
    <w:qFormat/>
    <w:uiPriority w:val="0"/>
    <w:pPr>
      <w:ind w:firstLine="420" w:firstLineChars="200"/>
    </w:pPr>
    <w:rPr>
      <w:szCs w:val="20"/>
    </w:rPr>
  </w:style>
  <w:style w:type="paragraph" w:customStyle="1" w:styleId="286">
    <w:name w:val="文档正文"/>
    <w:basedOn w:val="1"/>
    <w:qFormat/>
    <w:uiPriority w:val="0"/>
    <w:pPr>
      <w:adjustRightInd w:val="0"/>
      <w:spacing w:line="300" w:lineRule="auto"/>
      <w:ind w:firstLine="567"/>
      <w:textAlignment w:val="baseline"/>
    </w:pPr>
    <w:rPr>
      <w:kern w:val="0"/>
      <w:sz w:val="24"/>
      <w:szCs w:val="20"/>
    </w:rPr>
  </w:style>
  <w:style w:type="paragraph" w:customStyle="1" w:styleId="287">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88">
    <w:name w:val="正文－恩普"/>
    <w:basedOn w:val="9"/>
    <w:qFormat/>
    <w:uiPriority w:val="0"/>
    <w:pPr>
      <w:spacing w:line="360" w:lineRule="auto"/>
      <w:ind w:firstLine="200"/>
    </w:pPr>
    <w:rPr>
      <w:rFonts w:ascii="仿宋_GB2312"/>
      <w:b/>
      <w:sz w:val="24"/>
    </w:rPr>
  </w:style>
  <w:style w:type="paragraph" w:customStyle="1" w:styleId="289">
    <w:name w:val="Char Char Char Char Char Char Char Char Char Char Char Char Char"/>
    <w:basedOn w:val="1"/>
    <w:qFormat/>
    <w:uiPriority w:val="0"/>
    <w:rPr>
      <w:rFonts w:ascii="Tahoma" w:hAnsi="Tahoma"/>
      <w:sz w:val="24"/>
      <w:szCs w:val="20"/>
    </w:rPr>
  </w:style>
  <w:style w:type="paragraph" w:customStyle="1" w:styleId="290">
    <w:name w:val="Char13"/>
    <w:basedOn w:val="1"/>
    <w:qFormat/>
    <w:uiPriority w:val="0"/>
    <w:pPr>
      <w:widowControl/>
      <w:spacing w:after="160" w:line="240" w:lineRule="exact"/>
      <w:jc w:val="left"/>
    </w:pPr>
    <w:rPr>
      <w:rFonts w:ascii="Verdana" w:hAnsi="Verdana"/>
      <w:kern w:val="0"/>
      <w:sz w:val="20"/>
      <w:szCs w:val="20"/>
      <w:lang w:eastAsia="en-US"/>
    </w:rPr>
  </w:style>
  <w:style w:type="paragraph" w:customStyle="1" w:styleId="291">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2">
    <w:name w:val="xl83"/>
    <w:basedOn w:val="1"/>
    <w:qFormat/>
    <w:uiPriority w:val="0"/>
    <w:pPr>
      <w:widowControl/>
      <w:pBdr>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3">
    <w:name w:val="Test2"/>
    <w:basedOn w:val="4"/>
    <w:qFormat/>
    <w:uiPriority w:val="0"/>
    <w:pPr>
      <w:keepNext w:val="0"/>
      <w:widowControl/>
      <w:tabs>
        <w:tab w:val="left" w:pos="774"/>
      </w:tabs>
      <w:autoSpaceDE w:val="0"/>
      <w:autoSpaceDN w:val="0"/>
      <w:adjustRightInd w:val="0"/>
      <w:snapToGrid w:val="0"/>
      <w:spacing w:before="360" w:after="360" w:line="240" w:lineRule="atLeast"/>
      <w:ind w:left="774" w:hanging="576"/>
      <w:jc w:val="left"/>
    </w:pPr>
    <w:rPr>
      <w:rFonts w:ascii="宋体" w:hAnsi="Arial"/>
      <w:snapToGrid w:val="0"/>
      <w:kern w:val="0"/>
    </w:rPr>
  </w:style>
  <w:style w:type="paragraph" w:customStyle="1" w:styleId="294">
    <w:name w:val="a"/>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95">
    <w:name w:val="正文2"/>
    <w:basedOn w:val="1"/>
    <w:qFormat/>
    <w:uiPriority w:val="0"/>
    <w:pPr>
      <w:autoSpaceDE w:val="0"/>
      <w:autoSpaceDN w:val="0"/>
      <w:adjustRightInd w:val="0"/>
      <w:spacing w:before="156" w:line="360" w:lineRule="auto"/>
      <w:ind w:firstLine="510" w:firstLineChars="200"/>
      <w:jc w:val="left"/>
    </w:pPr>
    <w:rPr>
      <w:kern w:val="0"/>
      <w:sz w:val="24"/>
      <w:szCs w:val="20"/>
    </w:rPr>
  </w:style>
  <w:style w:type="paragraph" w:customStyle="1" w:styleId="296">
    <w:name w:val="xl89"/>
    <w:basedOn w:val="1"/>
    <w:qFormat/>
    <w:uiPriority w:val="0"/>
    <w:pPr>
      <w:widowControl/>
      <w:spacing w:before="100" w:beforeAutospacing="1" w:after="100" w:afterAutospacing="1"/>
      <w:jc w:val="left"/>
    </w:pPr>
    <w:rPr>
      <w:rFonts w:ascii="宋体" w:hAnsi="宋体" w:cs="宋体"/>
      <w:kern w:val="0"/>
      <w:sz w:val="24"/>
    </w:rPr>
  </w:style>
  <w:style w:type="paragraph" w:customStyle="1" w:styleId="297">
    <w:name w:val="Char Char Char Char Char Char Char"/>
    <w:basedOn w:val="1"/>
    <w:qFormat/>
    <w:uiPriority w:val="0"/>
    <w:rPr>
      <w:rFonts w:ascii="仿宋_GB2312" w:eastAsia="仿宋_GB2312"/>
      <w:b/>
      <w:sz w:val="32"/>
      <w:szCs w:val="32"/>
    </w:rPr>
  </w:style>
  <w:style w:type="paragraph" w:customStyle="1" w:styleId="298">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299">
    <w:name w:val="tabletext"/>
    <w:basedOn w:val="1"/>
    <w:qFormat/>
    <w:uiPriority w:val="0"/>
    <w:pPr>
      <w:widowControl/>
      <w:spacing w:line="300" w:lineRule="atLeast"/>
      <w:jc w:val="left"/>
    </w:pPr>
    <w:rPr>
      <w:rFonts w:ascii="宋体" w:hAnsi="宋体" w:cs="宋体"/>
      <w:kern w:val="0"/>
      <w:sz w:val="18"/>
      <w:szCs w:val="18"/>
    </w:rPr>
  </w:style>
  <w:style w:type="paragraph" w:customStyle="1" w:styleId="300">
    <w:name w:val="章标题"/>
    <w:next w:val="1"/>
    <w:qFormat/>
    <w:uiPriority w:val="0"/>
    <w:pPr>
      <w:tabs>
        <w:tab w:val="left" w:pos="3469"/>
      </w:tabs>
      <w:spacing w:beforeLines="50" w:afterLines="50"/>
      <w:ind w:left="3469" w:hanging="420"/>
      <w:jc w:val="both"/>
      <w:outlineLvl w:val="1"/>
    </w:pPr>
    <w:rPr>
      <w:rFonts w:ascii="黑体" w:hAnsi="Calibri" w:eastAsia="黑体" w:cs="Times New Roman"/>
      <w:sz w:val="21"/>
      <w:lang w:val="en-US" w:eastAsia="zh-CN" w:bidi="ar-SA"/>
    </w:rPr>
  </w:style>
  <w:style w:type="paragraph" w:customStyle="1" w:styleId="301">
    <w:name w:val="Item List in Table"/>
    <w:qFormat/>
    <w:uiPriority w:val="0"/>
    <w:pPr>
      <w:tabs>
        <w:tab w:val="left" w:pos="284"/>
        <w:tab w:val="left" w:pos="720"/>
      </w:tabs>
      <w:spacing w:before="40" w:after="40"/>
      <w:ind w:left="720" w:hanging="720"/>
      <w:jc w:val="both"/>
    </w:pPr>
    <w:rPr>
      <w:rFonts w:ascii="Calibri" w:hAnsi="Calibri" w:eastAsia="宋体" w:cs="Arial"/>
      <w:kern w:val="2"/>
      <w:sz w:val="18"/>
      <w:szCs w:val="18"/>
      <w:lang w:val="en-US" w:eastAsia="zh-CN" w:bidi="ar-SA"/>
    </w:rPr>
  </w:style>
  <w:style w:type="paragraph" w:customStyle="1" w:styleId="302">
    <w:name w:val="正文 首行缩进:  2 字符 Char"/>
    <w:basedOn w:val="1"/>
    <w:autoRedefine/>
    <w:qFormat/>
    <w:uiPriority w:val="0"/>
    <w:pPr>
      <w:spacing w:line="360" w:lineRule="auto"/>
      <w:ind w:firstLine="480"/>
    </w:pPr>
    <w:rPr>
      <w:rFonts w:cs="宋体"/>
      <w:sz w:val="24"/>
      <w:szCs w:val="20"/>
    </w:rPr>
  </w:style>
  <w:style w:type="paragraph" w:customStyle="1" w:styleId="303">
    <w:name w:val="正文文字表格居中"/>
    <w:basedOn w:val="1"/>
    <w:next w:val="48"/>
    <w:qFormat/>
    <w:uiPriority w:val="0"/>
    <w:pPr>
      <w:autoSpaceDE w:val="0"/>
      <w:autoSpaceDN w:val="0"/>
      <w:adjustRightInd w:val="0"/>
      <w:snapToGrid w:val="0"/>
      <w:spacing w:line="360" w:lineRule="auto"/>
      <w:jc w:val="left"/>
    </w:pPr>
    <w:rPr>
      <w:rFonts w:ascii="宋体"/>
      <w:b/>
      <w:kern w:val="0"/>
      <w:sz w:val="24"/>
      <w:szCs w:val="20"/>
    </w:rPr>
  </w:style>
  <w:style w:type="paragraph" w:customStyle="1" w:styleId="304">
    <w:name w:val="xl25"/>
    <w:basedOn w:val="1"/>
    <w:qFormat/>
    <w:uiPriority w:val="0"/>
    <w:pPr>
      <w:widowControl/>
      <w:autoSpaceDE w:val="0"/>
      <w:autoSpaceDN w:val="0"/>
      <w:adjustRightInd w:val="0"/>
      <w:spacing w:before="100" w:beforeAutospacing="1" w:after="100" w:afterAutospacing="1"/>
      <w:jc w:val="center"/>
      <w:textAlignment w:val="center"/>
    </w:pPr>
    <w:rPr>
      <w:rFonts w:hint="eastAsia" w:ascii="楷体_GB2312" w:hAnsi="宋体" w:eastAsia="楷体_GB2312"/>
      <w:kern w:val="0"/>
      <w:sz w:val="24"/>
      <w:szCs w:val="20"/>
    </w:rPr>
  </w:style>
  <w:style w:type="paragraph" w:customStyle="1" w:styleId="305">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06">
    <w:name w:val="WW-正文文字缩进 2"/>
    <w:basedOn w:val="1"/>
    <w:autoRedefine/>
    <w:qFormat/>
    <w:uiPriority w:val="0"/>
    <w:pPr>
      <w:suppressAutoHyphens/>
      <w:autoSpaceDE w:val="0"/>
      <w:autoSpaceDN w:val="0"/>
      <w:adjustRightInd w:val="0"/>
      <w:ind w:firstLine="420"/>
      <w:jc w:val="left"/>
    </w:pPr>
    <w:rPr>
      <w:kern w:val="1"/>
      <w:sz w:val="20"/>
      <w:szCs w:val="20"/>
    </w:rPr>
  </w:style>
  <w:style w:type="paragraph" w:customStyle="1" w:styleId="307">
    <w:name w:val="NICMAN Body Text"/>
    <w:basedOn w:val="1"/>
    <w:next w:val="21"/>
    <w:qFormat/>
    <w:uiPriority w:val="0"/>
    <w:pPr>
      <w:autoSpaceDE w:val="0"/>
      <w:autoSpaceDN w:val="0"/>
      <w:adjustRightInd w:val="0"/>
      <w:spacing w:after="120"/>
      <w:jc w:val="left"/>
    </w:pPr>
    <w:rPr>
      <w:kern w:val="0"/>
      <w:sz w:val="20"/>
      <w:szCs w:val="20"/>
    </w:rPr>
  </w:style>
  <w:style w:type="paragraph" w:customStyle="1" w:styleId="308">
    <w:name w:val="VIT-Text"/>
    <w:basedOn w:val="1"/>
    <w:qFormat/>
    <w:uiPriority w:val="0"/>
    <w:pPr>
      <w:widowControl/>
      <w:tabs>
        <w:tab w:val="left" w:pos="709"/>
        <w:tab w:val="left" w:pos="3402"/>
        <w:tab w:val="left" w:pos="4536"/>
        <w:tab w:val="left" w:pos="5670"/>
        <w:tab w:val="decimal" w:pos="6804"/>
        <w:tab w:val="right" w:pos="9072"/>
      </w:tabs>
      <w:jc w:val="left"/>
    </w:pPr>
    <w:rPr>
      <w:rFonts w:ascii="Arial" w:hAnsi="Arial" w:eastAsia="PMingLiU"/>
      <w:kern w:val="0"/>
      <w:sz w:val="22"/>
      <w:szCs w:val="20"/>
      <w:lang w:val="de-DE" w:eastAsia="zh-TW"/>
    </w:rPr>
  </w:style>
  <w:style w:type="paragraph" w:customStyle="1" w:styleId="309">
    <w:name w:val="正文样式 首行缩进:  0.74 厘米"/>
    <w:basedOn w:val="1"/>
    <w:qFormat/>
    <w:uiPriority w:val="0"/>
    <w:pPr>
      <w:autoSpaceDE w:val="0"/>
      <w:autoSpaceDN w:val="0"/>
      <w:adjustRightInd w:val="0"/>
      <w:spacing w:beforeLines="50" w:line="360" w:lineRule="auto"/>
      <w:ind w:firstLine="420"/>
      <w:jc w:val="left"/>
    </w:pPr>
    <w:rPr>
      <w:rFonts w:cs="宋体"/>
      <w:kern w:val="0"/>
      <w:sz w:val="24"/>
      <w:szCs w:val="20"/>
    </w:rPr>
  </w:style>
  <w:style w:type="paragraph" w:customStyle="1" w:styleId="310">
    <w:name w:val="正文（首行缩进）"/>
    <w:basedOn w:val="23"/>
    <w:qFormat/>
    <w:uiPriority w:val="0"/>
    <w:pPr>
      <w:widowControl/>
      <w:overflowPunct w:val="0"/>
      <w:autoSpaceDE w:val="0"/>
      <w:autoSpaceDN w:val="0"/>
      <w:adjustRightInd w:val="0"/>
      <w:spacing w:beforeLines="50" w:line="400" w:lineRule="exact"/>
      <w:ind w:left="200" w:firstLine="200" w:firstLineChars="200"/>
      <w:jc w:val="left"/>
      <w:textAlignment w:val="baseline"/>
    </w:pPr>
    <w:rPr>
      <w:spacing w:val="10"/>
      <w:kern w:val="0"/>
      <w:sz w:val="24"/>
      <w:szCs w:val="20"/>
    </w:rPr>
  </w:style>
  <w:style w:type="paragraph" w:customStyle="1" w:styleId="311">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2">
    <w:name w:val="样式 标题 3 + 黑体 小四 非加粗"/>
    <w:basedOn w:val="5"/>
    <w:qFormat/>
    <w:uiPriority w:val="0"/>
    <w:pPr>
      <w:spacing w:before="260" w:after="260" w:line="413" w:lineRule="auto"/>
    </w:pPr>
    <w:rPr>
      <w:rFonts w:ascii="黑体" w:hAnsi="黑体"/>
      <w:b w:val="0"/>
      <w:kern w:val="0"/>
      <w:sz w:val="24"/>
      <w:szCs w:val="32"/>
    </w:rPr>
  </w:style>
  <w:style w:type="paragraph" w:customStyle="1" w:styleId="313">
    <w:name w:val="保留正文"/>
    <w:basedOn w:val="21"/>
    <w:qFormat/>
    <w:uiPriority w:val="0"/>
    <w:pPr>
      <w:keepNext/>
      <w:spacing w:after="160"/>
    </w:pPr>
    <w:rPr>
      <w:rFonts w:ascii="仿宋_GB2312"/>
      <w:b/>
      <w:szCs w:val="20"/>
    </w:rPr>
  </w:style>
  <w:style w:type="paragraph" w:customStyle="1" w:styleId="314">
    <w:name w:val="Char1 Char Char Char Char Char Char"/>
    <w:basedOn w:val="1"/>
    <w:qFormat/>
    <w:uiPriority w:val="0"/>
    <w:rPr>
      <w:rFonts w:ascii="宋体" w:hAnsi="宋体"/>
      <w:color w:val="000000"/>
      <w:sz w:val="24"/>
    </w:rPr>
  </w:style>
  <w:style w:type="paragraph" w:customStyle="1" w:styleId="315">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16">
    <w:name w:val="p0"/>
    <w:basedOn w:val="1"/>
    <w:qFormat/>
    <w:uiPriority w:val="0"/>
    <w:pPr>
      <w:widowControl/>
    </w:pPr>
    <w:rPr>
      <w:kern w:val="0"/>
      <w:szCs w:val="21"/>
    </w:rPr>
  </w:style>
  <w:style w:type="paragraph" w:customStyle="1" w:styleId="317">
    <w:name w:val="xl9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8">
    <w:name w:val="Char Char Char Char Char Char Char Char Char Char Char Char Char1"/>
    <w:basedOn w:val="1"/>
    <w:qFormat/>
    <w:uiPriority w:val="0"/>
  </w:style>
  <w:style w:type="paragraph" w:customStyle="1" w:styleId="319">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20">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321">
    <w:name w:val="默认段落字体 Para Char Char Char Char Char Char Char"/>
    <w:basedOn w:val="1"/>
    <w:qFormat/>
    <w:uiPriority w:val="0"/>
  </w:style>
  <w:style w:type="paragraph" w:customStyle="1" w:styleId="322">
    <w:name w:val="Char Char Char Char Char Char Char Char Char Char"/>
    <w:basedOn w:val="1"/>
    <w:qFormat/>
    <w:uiPriority w:val="0"/>
    <w:pPr>
      <w:autoSpaceDE w:val="0"/>
      <w:autoSpaceDN w:val="0"/>
      <w:adjustRightInd w:val="0"/>
      <w:jc w:val="left"/>
    </w:pPr>
    <w:rPr>
      <w:rFonts w:ascii="仿宋_GB2312" w:eastAsia="仿宋_GB2312"/>
      <w:b/>
      <w:kern w:val="0"/>
      <w:sz w:val="32"/>
      <w:szCs w:val="32"/>
    </w:rPr>
  </w:style>
  <w:style w:type="paragraph" w:customStyle="1" w:styleId="323">
    <w:name w:val="封面正文"/>
    <w:qFormat/>
    <w:locked/>
    <w:uiPriority w:val="0"/>
    <w:pPr>
      <w:jc w:val="both"/>
    </w:pPr>
    <w:rPr>
      <w:rFonts w:ascii="Calibri" w:hAnsi="Calibri" w:eastAsia="宋体" w:cs="Times New Roman"/>
      <w:lang w:val="en-US" w:eastAsia="zh-CN" w:bidi="ar-SA"/>
    </w:rPr>
  </w:style>
  <w:style w:type="paragraph" w:customStyle="1" w:styleId="324">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325">
    <w:name w:val="标准段落"/>
    <w:basedOn w:val="1"/>
    <w:qFormat/>
    <w:uiPriority w:val="0"/>
    <w:pPr>
      <w:spacing w:after="120" w:line="360" w:lineRule="auto"/>
      <w:ind w:firstLine="420"/>
    </w:pPr>
    <w:rPr>
      <w:rFonts w:ascii="黑体" w:hAnsi="宋体" w:eastAsia="黑体"/>
      <w:b/>
      <w:spacing w:val="6"/>
      <w:szCs w:val="22"/>
    </w:rPr>
  </w:style>
  <w:style w:type="paragraph" w:customStyle="1" w:styleId="326">
    <w:name w:val="Char3 Char Char Char1"/>
    <w:basedOn w:val="1"/>
    <w:qFormat/>
    <w:uiPriority w:val="0"/>
  </w:style>
  <w:style w:type="paragraph" w:customStyle="1" w:styleId="327">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28">
    <w:name w:val="列出段落12"/>
    <w:basedOn w:val="1"/>
    <w:qFormat/>
    <w:uiPriority w:val="0"/>
    <w:pPr>
      <w:ind w:firstLine="420" w:firstLineChars="200"/>
    </w:pPr>
  </w:style>
  <w:style w:type="paragraph" w:customStyle="1" w:styleId="329">
    <w:name w:val="xl91"/>
    <w:basedOn w:val="1"/>
    <w:qFormat/>
    <w:uiPriority w:val="0"/>
    <w:pPr>
      <w:widowControl/>
      <w:pBdr>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30">
    <w:name w:val="ÕýÎÄÊ×ÐÐËõ½ø"/>
    <w:basedOn w:val="1"/>
    <w:qFormat/>
    <w:uiPriority w:val="0"/>
    <w:pPr>
      <w:widowControl/>
      <w:overflowPunct w:val="0"/>
      <w:autoSpaceDE w:val="0"/>
      <w:autoSpaceDN w:val="0"/>
      <w:adjustRightInd w:val="0"/>
      <w:spacing w:line="360" w:lineRule="auto"/>
      <w:ind w:left="1134"/>
      <w:jc w:val="left"/>
      <w:textAlignment w:val="baseline"/>
    </w:pPr>
    <w:rPr>
      <w:rFonts w:eastAsia="Times New Roman"/>
      <w:kern w:val="0"/>
      <w:sz w:val="20"/>
      <w:szCs w:val="20"/>
    </w:rPr>
  </w:style>
  <w:style w:type="paragraph" w:customStyle="1" w:styleId="331">
    <w:name w:val="五级条标题"/>
    <w:basedOn w:val="255"/>
    <w:next w:val="1"/>
    <w:qFormat/>
    <w:uiPriority w:val="0"/>
    <w:pPr>
      <w:tabs>
        <w:tab w:val="left" w:pos="5569"/>
        <w:tab w:val="clear" w:pos="5149"/>
      </w:tabs>
      <w:ind w:left="5569"/>
      <w:outlineLvl w:val="6"/>
    </w:pPr>
  </w:style>
  <w:style w:type="paragraph" w:customStyle="1" w:styleId="332">
    <w:name w:val="列表段落1"/>
    <w:basedOn w:val="1"/>
    <w:qFormat/>
    <w:uiPriority w:val="34"/>
    <w:pPr>
      <w:ind w:firstLine="420" w:firstLineChars="200"/>
    </w:pPr>
    <w:rPr>
      <w:szCs w:val="22"/>
    </w:rPr>
  </w:style>
  <w:style w:type="paragraph" w:customStyle="1" w:styleId="333">
    <w:name w:val="Table caption|1"/>
    <w:basedOn w:val="1"/>
    <w:qFormat/>
    <w:uiPriority w:val="0"/>
    <w:pPr>
      <w:jc w:val="left"/>
    </w:pPr>
    <w:rPr>
      <w:rFonts w:ascii="宋体" w:hAnsi="宋体" w:cs="宋体"/>
      <w:kern w:val="0"/>
      <w:sz w:val="22"/>
      <w:szCs w:val="22"/>
      <w:lang w:val="zh-TW" w:eastAsia="zh-TW" w:bidi="zh-TW"/>
    </w:rPr>
  </w:style>
  <w:style w:type="paragraph" w:customStyle="1" w:styleId="334">
    <w:name w:val="List Paragraph1"/>
    <w:basedOn w:val="1"/>
    <w:qFormat/>
    <w:uiPriority w:val="0"/>
    <w:pPr>
      <w:ind w:firstLine="420" w:firstLineChars="200"/>
    </w:pPr>
    <w:rPr>
      <w:szCs w:val="22"/>
    </w:rPr>
  </w:style>
  <w:style w:type="paragraph" w:customStyle="1" w:styleId="335">
    <w:name w:val="xl78"/>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新宋体" w:hAnsi="新宋体" w:eastAsia="新宋体" w:cs="宋体"/>
      <w:b/>
      <w:bCs/>
      <w:color w:val="FF0000"/>
      <w:kern w:val="0"/>
      <w:sz w:val="24"/>
    </w:rPr>
  </w:style>
  <w:style w:type="paragraph" w:customStyle="1" w:styleId="336">
    <w:name w:val="features1"/>
    <w:basedOn w:val="1"/>
    <w:autoRedefine/>
    <w:qFormat/>
    <w:uiPriority w:val="0"/>
    <w:pPr>
      <w:widowControl/>
      <w:spacing w:before="100" w:beforeAutospacing="1" w:after="100" w:afterAutospacing="1"/>
      <w:jc w:val="left"/>
    </w:pPr>
    <w:rPr>
      <w:rFonts w:ascii="宋体" w:hAnsi="宋体" w:cs="宋体"/>
      <w:b/>
      <w:bCs/>
      <w:kern w:val="0"/>
      <w:sz w:val="18"/>
      <w:szCs w:val="18"/>
    </w:rPr>
  </w:style>
  <w:style w:type="paragraph" w:customStyle="1" w:styleId="337">
    <w:name w:val="Char1"/>
    <w:basedOn w:val="1"/>
    <w:qFormat/>
    <w:uiPriority w:val="0"/>
    <w:rPr>
      <w:rFonts w:ascii="仿宋_GB2312" w:eastAsia="仿宋_GB2312"/>
      <w:b/>
      <w:sz w:val="32"/>
      <w:szCs w:val="32"/>
    </w:rPr>
  </w:style>
  <w:style w:type="paragraph" w:customStyle="1" w:styleId="338">
    <w:name w:val="小标题"/>
    <w:basedOn w:val="1"/>
    <w:qFormat/>
    <w:uiPriority w:val="0"/>
    <w:pPr>
      <w:autoSpaceDE w:val="0"/>
      <w:autoSpaceDN w:val="0"/>
      <w:adjustRightInd w:val="0"/>
      <w:spacing w:before="120" w:line="360" w:lineRule="atLeast"/>
      <w:ind w:left="1134"/>
      <w:jc w:val="left"/>
      <w:textAlignment w:val="baseline"/>
    </w:pPr>
    <w:rPr>
      <w:rFonts w:eastAsia="黑体"/>
      <w:kern w:val="0"/>
      <w:sz w:val="20"/>
      <w:szCs w:val="20"/>
    </w:rPr>
  </w:style>
  <w:style w:type="paragraph" w:customStyle="1" w:styleId="339">
    <w:name w:val="aspnumfaautoadjustrightr"/>
    <w:qFormat/>
    <w:uiPriority w:val="0"/>
    <w:pPr>
      <w:widowControl w:val="0"/>
      <w:autoSpaceDE w:val="0"/>
      <w:autoSpaceDN w:val="0"/>
      <w:adjustRightInd w:val="0"/>
      <w:ind w:firstLine="720"/>
      <w:jc w:val="both"/>
    </w:pPr>
    <w:rPr>
      <w:rFonts w:ascii="Calibri" w:hAnsi="Calibri" w:eastAsia="宋体" w:cs="Times New Roman"/>
      <w:lang w:val="en-US" w:eastAsia="zh-CN" w:bidi="ar-SA"/>
    </w:rPr>
  </w:style>
  <w:style w:type="paragraph" w:customStyle="1" w:styleId="340">
    <w:name w:val="排列"/>
    <w:basedOn w:val="1"/>
    <w:qFormat/>
    <w:uiPriority w:val="0"/>
    <w:pPr>
      <w:widowControl/>
      <w:autoSpaceDE w:val="0"/>
      <w:autoSpaceDN w:val="0"/>
      <w:adjustRightInd w:val="0"/>
      <w:spacing w:line="360" w:lineRule="auto"/>
      <w:jc w:val="left"/>
    </w:pPr>
    <w:rPr>
      <w:rFonts w:ascii="宋体" w:hAnsi="宋体"/>
      <w:kern w:val="0"/>
      <w:sz w:val="20"/>
      <w:szCs w:val="20"/>
      <w:lang w:val="zh-CN"/>
    </w:rPr>
  </w:style>
  <w:style w:type="paragraph" w:customStyle="1" w:styleId="341">
    <w:name w:val="部分1"/>
    <w:basedOn w:val="1"/>
    <w:qFormat/>
    <w:uiPriority w:val="0"/>
    <w:pPr>
      <w:keepNext/>
      <w:pageBreakBefore/>
      <w:tabs>
        <w:tab w:val="left" w:pos="720"/>
      </w:tabs>
      <w:autoSpaceDE w:val="0"/>
      <w:autoSpaceDN w:val="0"/>
      <w:adjustRightInd w:val="0"/>
      <w:spacing w:line="360" w:lineRule="auto"/>
      <w:jc w:val="center"/>
      <w:outlineLvl w:val="0"/>
    </w:pPr>
    <w:rPr>
      <w:rFonts w:eastAsia="黑体"/>
      <w:b/>
      <w:kern w:val="44"/>
      <w:sz w:val="36"/>
      <w:szCs w:val="20"/>
    </w:rPr>
  </w:style>
  <w:style w:type="paragraph" w:customStyle="1" w:styleId="342">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43">
    <w:name w:val="Table Contents"/>
    <w:basedOn w:val="1"/>
    <w:qFormat/>
    <w:uiPriority w:val="0"/>
    <w:pPr>
      <w:suppressAutoHyphens/>
      <w:autoSpaceDE w:val="0"/>
      <w:autoSpaceDN w:val="0"/>
      <w:adjustRightInd w:val="0"/>
      <w:spacing w:after="120"/>
      <w:jc w:val="left"/>
    </w:pPr>
    <w:rPr>
      <w:rFonts w:ascii="Helvetica" w:hAnsi="Helvetica"/>
      <w:kern w:val="1"/>
      <w:sz w:val="20"/>
      <w:szCs w:val="20"/>
    </w:rPr>
  </w:style>
  <w:style w:type="paragraph" w:customStyle="1" w:styleId="344">
    <w:name w:val="xl88"/>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45">
    <w:name w:val="Char Char Char Char"/>
    <w:basedOn w:val="17"/>
    <w:qFormat/>
    <w:uiPriority w:val="0"/>
    <w:rPr>
      <w:rFonts w:ascii="Tahoma" w:hAnsi="Tahoma"/>
      <w:sz w:val="24"/>
    </w:rPr>
  </w:style>
  <w:style w:type="paragraph" w:customStyle="1" w:styleId="346">
    <w:name w:val="1.1.1"/>
    <w:basedOn w:val="1"/>
    <w:qFormat/>
    <w:uiPriority w:val="0"/>
    <w:pPr>
      <w:tabs>
        <w:tab w:val="left" w:pos="0"/>
        <w:tab w:val="left" w:pos="1134"/>
        <w:tab w:val="left" w:pos="8505"/>
      </w:tabs>
      <w:autoSpaceDE w:val="0"/>
      <w:autoSpaceDN w:val="0"/>
      <w:adjustRightInd w:val="0"/>
      <w:spacing w:before="240" w:after="60" w:line="360" w:lineRule="atLeast"/>
    </w:pPr>
    <w:rPr>
      <w:rFonts w:ascii="宋体"/>
      <w:b/>
      <w:kern w:val="0"/>
      <w:sz w:val="24"/>
      <w:szCs w:val="20"/>
    </w:rPr>
  </w:style>
  <w:style w:type="paragraph" w:customStyle="1" w:styleId="347">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348">
    <w:name w:val="样式"/>
    <w:basedOn w:val="1"/>
    <w:qFormat/>
    <w:uiPriority w:val="0"/>
    <w:pPr>
      <w:autoSpaceDE w:val="0"/>
      <w:autoSpaceDN w:val="0"/>
      <w:adjustRightInd w:val="0"/>
      <w:snapToGrid w:val="0"/>
      <w:spacing w:before="120" w:after="120" w:line="360" w:lineRule="auto"/>
      <w:jc w:val="left"/>
    </w:pPr>
    <w:rPr>
      <w:rFonts w:ascii="宋体"/>
      <w:kern w:val="0"/>
      <w:sz w:val="24"/>
      <w:szCs w:val="20"/>
    </w:rPr>
  </w:style>
  <w:style w:type="paragraph" w:customStyle="1" w:styleId="349">
    <w:name w:val="Char2"/>
    <w:basedOn w:val="1"/>
    <w:qFormat/>
    <w:uiPriority w:val="0"/>
    <w:pPr>
      <w:autoSpaceDE w:val="0"/>
      <w:autoSpaceDN w:val="0"/>
      <w:adjustRightInd w:val="0"/>
      <w:jc w:val="left"/>
    </w:pPr>
    <w:rPr>
      <w:rFonts w:ascii="仿宋_GB2312" w:eastAsia="仿宋_GB2312"/>
      <w:b/>
      <w:kern w:val="0"/>
      <w:sz w:val="32"/>
      <w:szCs w:val="32"/>
    </w:rPr>
  </w:style>
  <w:style w:type="paragraph" w:customStyle="1" w:styleId="350">
    <w:name w:val="Char Char Char Char1"/>
    <w:basedOn w:val="1"/>
    <w:qFormat/>
    <w:uiPriority w:val="0"/>
    <w:pPr>
      <w:autoSpaceDE w:val="0"/>
      <w:autoSpaceDN w:val="0"/>
      <w:adjustRightInd w:val="0"/>
      <w:jc w:val="left"/>
    </w:pPr>
    <w:rPr>
      <w:rFonts w:ascii="Tahoma" w:hAnsi="Tahoma"/>
      <w:kern w:val="0"/>
      <w:sz w:val="24"/>
      <w:szCs w:val="20"/>
    </w:rPr>
  </w:style>
  <w:style w:type="paragraph" w:customStyle="1" w:styleId="351">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52">
    <w:name w:val="Char Char1 Char Char Char Char Char Char Char Char Char Char Char Char Char Char"/>
    <w:basedOn w:val="1"/>
    <w:qFormat/>
    <w:uiPriority w:val="0"/>
    <w:pPr>
      <w:widowControl/>
      <w:autoSpaceDE w:val="0"/>
      <w:autoSpaceDN w:val="0"/>
      <w:adjustRightInd w:val="0"/>
      <w:spacing w:after="160" w:line="240" w:lineRule="exact"/>
      <w:jc w:val="left"/>
    </w:pPr>
    <w:rPr>
      <w:kern w:val="0"/>
      <w:sz w:val="20"/>
      <w:szCs w:val="20"/>
    </w:rPr>
  </w:style>
  <w:style w:type="paragraph" w:customStyle="1" w:styleId="353">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54">
    <w:name w:val="Body text|1"/>
    <w:basedOn w:val="1"/>
    <w:qFormat/>
    <w:uiPriority w:val="0"/>
    <w:pPr>
      <w:spacing w:line="456" w:lineRule="auto"/>
      <w:ind w:firstLine="400"/>
      <w:jc w:val="left"/>
    </w:pPr>
    <w:rPr>
      <w:rFonts w:ascii="宋体" w:hAnsi="宋体" w:cs="宋体"/>
      <w:kern w:val="0"/>
      <w:sz w:val="22"/>
      <w:szCs w:val="22"/>
      <w:lang w:val="zh-TW" w:eastAsia="zh-TW" w:bidi="zh-TW"/>
    </w:rPr>
  </w:style>
  <w:style w:type="paragraph" w:customStyle="1" w:styleId="355">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56">
    <w:name w:val="文字"/>
    <w:basedOn w:val="1"/>
    <w:qFormat/>
    <w:uiPriority w:val="0"/>
    <w:pPr>
      <w:tabs>
        <w:tab w:val="left" w:pos="8520"/>
      </w:tabs>
      <w:spacing w:line="312" w:lineRule="auto"/>
      <w:ind w:right="-210" w:firstLine="556"/>
    </w:pPr>
    <w:rPr>
      <w:rFonts w:ascii="宋体"/>
      <w:sz w:val="28"/>
      <w:szCs w:val="20"/>
    </w:rPr>
  </w:style>
  <w:style w:type="paragraph" w:customStyle="1" w:styleId="357">
    <w:name w:val="表格文字（大）"/>
    <w:basedOn w:val="1"/>
    <w:qFormat/>
    <w:uiPriority w:val="0"/>
    <w:pPr>
      <w:autoSpaceDE w:val="0"/>
      <w:autoSpaceDN w:val="0"/>
      <w:adjustRightInd w:val="0"/>
      <w:spacing w:before="20" w:after="20"/>
      <w:jc w:val="left"/>
    </w:pPr>
    <w:rPr>
      <w:rFonts w:ascii="Century Gothic" w:hAnsi="Century Gothic" w:cs="Century Gothic"/>
      <w:kern w:val="0"/>
      <w:sz w:val="24"/>
      <w:szCs w:val="20"/>
    </w:rPr>
  </w:style>
  <w:style w:type="paragraph" w:customStyle="1" w:styleId="358">
    <w:name w:val="xl8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9">
    <w:name w:val="xl84"/>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60">
    <w:name w:val="14"/>
    <w:basedOn w:val="1"/>
    <w:qFormat/>
    <w:uiPriority w:val="0"/>
    <w:pPr>
      <w:snapToGrid w:val="0"/>
      <w:spacing w:beforeLines="30" w:line="288" w:lineRule="auto"/>
      <w:ind w:left="852" w:leftChars="355" w:firstLine="420" w:firstLineChars="175"/>
    </w:pPr>
    <w:rPr>
      <w:rFonts w:ascii="新宋体" w:hAnsi="新宋体"/>
      <w:sz w:val="24"/>
      <w:szCs w:val="20"/>
    </w:rPr>
  </w:style>
  <w:style w:type="paragraph" w:customStyle="1" w:styleId="361">
    <w:name w:val="_Style 3"/>
    <w:basedOn w:val="1"/>
    <w:next w:val="1"/>
    <w:qFormat/>
    <w:uiPriority w:val="34"/>
    <w:pPr>
      <w:spacing w:line="360" w:lineRule="auto"/>
      <w:ind w:firstLine="420" w:firstLineChars="200"/>
    </w:pPr>
  </w:style>
  <w:style w:type="paragraph" w:customStyle="1" w:styleId="362">
    <w:name w:val="正文-宋体四号"/>
    <w:basedOn w:val="1"/>
    <w:qFormat/>
    <w:uiPriority w:val="0"/>
    <w:pPr>
      <w:spacing w:line="360" w:lineRule="auto"/>
      <w:ind w:firstLine="560" w:firstLineChars="200"/>
    </w:pPr>
    <w:rPr>
      <w:rFonts w:cs="宋体"/>
      <w:sz w:val="28"/>
      <w:szCs w:val="20"/>
    </w:rPr>
  </w:style>
  <w:style w:type="paragraph" w:styleId="363">
    <w:name w:val="List Paragraph"/>
    <w:basedOn w:val="1"/>
    <w:unhideWhenUsed/>
    <w:qFormat/>
    <w:uiPriority w:val="99"/>
    <w:pPr>
      <w:ind w:firstLine="420" w:firstLineChars="200"/>
    </w:pPr>
  </w:style>
  <w:style w:type="character" w:customStyle="1" w:styleId="364">
    <w:name w:val="font21"/>
    <w:qFormat/>
    <w:uiPriority w:val="0"/>
    <w:rPr>
      <w:rFonts w:hint="eastAsia" w:ascii="宋体" w:hAnsi="宋体" w:eastAsia="宋体" w:cs="宋体"/>
      <w:b/>
      <w:color w:val="000000"/>
      <w:sz w:val="18"/>
      <w:szCs w:val="18"/>
      <w:u w:val="none"/>
    </w:rPr>
  </w:style>
  <w:style w:type="paragraph" w:customStyle="1" w:styleId="365">
    <w:name w:val="style4"/>
    <w:basedOn w:val="1"/>
    <w:next w:val="366"/>
    <w:qFormat/>
    <w:uiPriority w:val="0"/>
    <w:pPr>
      <w:widowControl/>
      <w:spacing w:before="280" w:after="280"/>
    </w:pPr>
    <w:rPr>
      <w:rFonts w:ascii="宋体"/>
      <w:sz w:val="18"/>
    </w:rPr>
  </w:style>
  <w:style w:type="paragraph" w:customStyle="1" w:styleId="366">
    <w:name w:val="2"/>
    <w:basedOn w:val="1"/>
    <w:next w:val="23"/>
    <w:qFormat/>
    <w:uiPriority w:val="0"/>
    <w:pPr>
      <w:ind w:left="432"/>
    </w:pPr>
    <w:rPr>
      <w:szCs w:val="20"/>
    </w:rPr>
  </w:style>
  <w:style w:type="character" w:customStyle="1" w:styleId="367">
    <w:name w:val="font41"/>
    <w:basedOn w:val="55"/>
    <w:qFormat/>
    <w:uiPriority w:val="0"/>
    <w:rPr>
      <w:rFonts w:hint="eastAsia" w:ascii="微软雅黑" w:hAnsi="微软雅黑" w:eastAsia="微软雅黑" w:cs="微软雅黑"/>
      <w:color w:val="000000"/>
      <w:sz w:val="21"/>
      <w:szCs w:val="21"/>
      <w:u w:val="none"/>
    </w:rPr>
  </w:style>
  <w:style w:type="character" w:customStyle="1" w:styleId="368">
    <w:name w:val="font101"/>
    <w:basedOn w:val="55"/>
    <w:qFormat/>
    <w:uiPriority w:val="0"/>
    <w:rPr>
      <w:rFonts w:ascii="等线" w:hAnsi="等线" w:eastAsia="等线" w:cs="等线"/>
      <w:color w:val="000000"/>
      <w:sz w:val="21"/>
      <w:szCs w:val="21"/>
      <w:u w:val="none"/>
    </w:rPr>
  </w:style>
  <w:style w:type="character" w:customStyle="1" w:styleId="369">
    <w:name w:val="font61"/>
    <w:basedOn w:val="55"/>
    <w:qFormat/>
    <w:uiPriority w:val="0"/>
    <w:rPr>
      <w:rFonts w:hint="eastAsia" w:ascii="宋体" w:hAnsi="宋体" w:eastAsia="宋体" w:cs="宋体"/>
      <w:color w:val="000000"/>
      <w:sz w:val="21"/>
      <w:szCs w:val="21"/>
      <w:u w:val="none"/>
    </w:rPr>
  </w:style>
  <w:style w:type="character" w:customStyle="1" w:styleId="370">
    <w:name w:val="font71"/>
    <w:basedOn w:val="55"/>
    <w:qFormat/>
    <w:uiPriority w:val="0"/>
    <w:rPr>
      <w:rFonts w:hint="default" w:ascii="Times New Roman" w:hAnsi="Times New Roman" w:cs="Times New Roman"/>
      <w:color w:val="000000"/>
      <w:sz w:val="21"/>
      <w:szCs w:val="21"/>
      <w:u w:val="none"/>
    </w:rPr>
  </w:style>
  <w:style w:type="character" w:customStyle="1" w:styleId="371">
    <w:name w:val="NormalCharacter"/>
    <w:autoRedefine/>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 </Company>
  <Pages>58</Pages>
  <Words>7193</Words>
  <Characters>7895</Characters>
  <Lines>286</Lines>
  <Paragraphs>80</Paragraphs>
  <TotalTime>27</TotalTime>
  <ScaleCrop>false</ScaleCrop>
  <LinksUpToDate>false</LinksUpToDate>
  <CharactersWithSpaces>8071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2021-08-17T08:06:00Z</dcterms:created>
  <dc:creator>user</dc:creator>
  <cp:lastModifiedBy>历程</cp:lastModifiedBy>
  <cp:lastPrinted>2025-02-25T00:17:00Z</cp:lastPrinted>
  <dcterms:modified xsi:type="dcterms:W3CDTF">2025-04-03T10:09:02Z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91B5503CA82A44E1BDEA4E686DE8C3D6_13</vt:lpwstr>
  </property>
  <property fmtid="{D5CDD505-2E9C-101B-9397-08002B2CF9AE}" pid="4" name="KSOTemplateDocerSaveRecord">
    <vt:lpwstr>eyJoZGlkIjoiY2E0NmYwMTIwOTRmM2U5ZmE5ZmRkOTg1NDdjYzQ4Y2QiLCJ1c2VySWQiOiIxNTUyNTMyNzYyIn0=</vt:lpwstr>
  </property>
</Properties>
</file>