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60"/>
          <w:szCs w:val="22"/>
          <w:highlight w:val="none"/>
        </w:rPr>
      </w:pPr>
      <w:r>
        <w:rPr>
          <w:rFonts w:hint="eastAsia" w:ascii="新宋体" w:hAnsi="新宋体" w:eastAsia="新宋体" w:cs="新宋体"/>
          <w:b/>
          <w:bCs/>
          <w:spacing w:val="30"/>
          <w:sz w:val="52"/>
          <w:szCs w:val="52"/>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eastAsia="zh-CN"/>
        </w:rPr>
      </w:pPr>
      <w:r>
        <w:rPr>
          <w:rFonts w:hint="eastAsia" w:ascii="宋体" w:hAnsi="宋体" w:eastAsia="宋体" w:cs="宋体"/>
          <w:b/>
          <w:bCs/>
          <w:spacing w:val="40"/>
          <w:sz w:val="32"/>
          <w:szCs w:val="32"/>
          <w:highlight w:val="none"/>
        </w:rPr>
        <w:t>项目名称：</w:t>
      </w:r>
      <w:r>
        <w:rPr>
          <w:rFonts w:hint="eastAsia" w:ascii="宋体" w:hAnsi="宋体" w:eastAsia="宋体" w:cs="宋体"/>
          <w:b/>
          <w:bCs/>
          <w:spacing w:val="40"/>
          <w:sz w:val="32"/>
          <w:szCs w:val="32"/>
          <w:highlight w:val="none"/>
          <w:lang w:val="en-US" w:eastAsia="zh-CN"/>
        </w:rPr>
        <w:t>心理健康定向赛</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653ADF1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spacing w:val="30"/>
          <w:sz w:val="30"/>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五年五</w:t>
      </w:r>
      <w:r>
        <w:rPr>
          <w:rFonts w:hint="eastAsia" w:ascii="新宋体" w:hAnsi="新宋体" w:eastAsia="新宋体"/>
          <w:b/>
          <w:bCs/>
          <w:spacing w:val="40"/>
          <w:sz w:val="32"/>
          <w:szCs w:val="28"/>
          <w:highlight w:val="none"/>
        </w:rPr>
        <w:t>月</w:t>
      </w:r>
    </w:p>
    <w:p w14:paraId="4DB5B5CD">
      <w:pPr>
        <w:pStyle w:val="2"/>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心理健康定向赛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心理健康定向赛  </w:t>
      </w:r>
    </w:p>
    <w:p w14:paraId="56294008">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40000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21"/>
          <w:rFonts w:hint="eastAsia" w:ascii="宋体" w:hAnsi="宋体" w:eastAsia="宋体" w:cs="宋体"/>
          <w:color w:val="000000"/>
          <w:sz w:val="24"/>
          <w:szCs w:val="24"/>
          <w:highlight w:val="none"/>
          <w:shd w:val="clear" w:color="auto" w:fill="FFFFFF"/>
        </w:rPr>
      </w:pPr>
      <w:r>
        <w:rPr>
          <w:rStyle w:val="21"/>
          <w:rFonts w:hint="eastAsia" w:ascii="宋体" w:hAnsi="宋体" w:eastAsia="宋体" w:cs="宋体"/>
          <w:color w:val="000000"/>
          <w:sz w:val="24"/>
          <w:szCs w:val="24"/>
          <w:highlight w:val="none"/>
          <w:shd w:val="clear" w:color="auto" w:fill="FFFFFF"/>
        </w:rPr>
        <w:t>投标人报价不得超过</w:t>
      </w:r>
      <w:r>
        <w:rPr>
          <w:rStyle w:val="21"/>
          <w:rFonts w:hint="eastAsia" w:ascii="宋体" w:hAnsi="宋体" w:eastAsia="宋体" w:cs="宋体"/>
          <w:color w:val="000000"/>
          <w:sz w:val="24"/>
          <w:szCs w:val="24"/>
          <w:highlight w:val="none"/>
          <w:shd w:val="clear" w:color="auto" w:fill="FFFFFF"/>
          <w:lang w:eastAsia="zh-CN"/>
        </w:rPr>
        <w:t>最高限价</w:t>
      </w:r>
      <w:r>
        <w:rPr>
          <w:rStyle w:val="21"/>
          <w:rFonts w:hint="eastAsia" w:ascii="宋体" w:hAnsi="宋体" w:eastAsia="宋体" w:cs="宋体"/>
          <w:color w:val="000000"/>
          <w:sz w:val="24"/>
          <w:szCs w:val="24"/>
          <w:highlight w:val="none"/>
          <w:shd w:val="clear" w:color="auto" w:fill="FFFFFF"/>
        </w:rPr>
        <w:t>金额，否则当无效标处理。</w:t>
      </w:r>
    </w:p>
    <w:p w14:paraId="4E89FF6D">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年</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日至202</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年</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0</w:t>
      </w:r>
      <w:r>
        <w:rPr>
          <w:rFonts w:hint="default" w:ascii="宋体" w:hAnsi="宋体" w:eastAsia="宋体" w:cs="宋体"/>
          <w:i w:val="0"/>
          <w:iCs w:val="0"/>
          <w:caps w:val="0"/>
          <w:color w:val="000000"/>
          <w:spacing w:val="0"/>
          <w:sz w:val="24"/>
          <w:szCs w:val="24"/>
          <w:highlight w:val="none"/>
          <w:shd w:val="clear" w:color="auto" w:fill="FFFFFF"/>
        </w:rPr>
        <w:t>0时（上午：8:10-11:40；下午：1:00-4:30、双休日不接收）</w:t>
      </w:r>
      <w:r>
        <w:rPr>
          <w:rFonts w:hint="default" w:ascii="宋体" w:hAnsi="宋体" w:eastAsia="宋体" w:cs="宋体"/>
          <w:i w:val="0"/>
          <w:iCs w:val="0"/>
          <w:caps w:val="0"/>
          <w:color w:val="000000"/>
          <w:spacing w:val="0"/>
          <w:sz w:val="24"/>
          <w:szCs w:val="24"/>
          <w:highlight w:val="none"/>
          <w:shd w:val="clear" w:color="auto" w:fill="FFFFFF"/>
        </w:rPr>
        <w:t>。</w:t>
      </w:r>
    </w:p>
    <w:p w14:paraId="1397FA6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2.</w:t>
      </w:r>
      <w:r>
        <w:rPr>
          <w:rFonts w:hint="default" w:ascii="宋体" w:hAnsi="宋体" w:eastAsia="宋体" w:cs="宋体"/>
          <w:i w:val="0"/>
          <w:iCs w:val="0"/>
          <w:caps w:val="0"/>
          <w:color w:val="000000"/>
          <w:spacing w:val="0"/>
          <w:sz w:val="24"/>
          <w:szCs w:val="24"/>
          <w:highlight w:val="none"/>
          <w:shd w:val="clear" w:color="auto" w:fill="FFFFFF"/>
        </w:rPr>
        <w:t>本次比选不适用《招标投标法》和《中华人民共和国政府采购法》，并且</w:t>
      </w:r>
      <w:r>
        <w:rPr>
          <w:rFonts w:hint="eastAsia" w:cs="宋体"/>
          <w:i w:val="0"/>
          <w:iCs w:val="0"/>
          <w:caps w:val="0"/>
          <w:color w:val="000000"/>
          <w:spacing w:val="0"/>
          <w:sz w:val="24"/>
          <w:szCs w:val="24"/>
          <w:highlight w:val="none"/>
          <w:shd w:val="clear" w:color="auto" w:fill="FFFFFF"/>
          <w:lang w:eastAsia="zh-CN"/>
        </w:rPr>
        <w:t>本单位</w:t>
      </w:r>
      <w:r>
        <w:rPr>
          <w:rFonts w:hint="default" w:ascii="宋体" w:hAnsi="宋体" w:eastAsia="宋体" w:cs="宋体"/>
          <w:i w:val="0"/>
          <w:iCs w:val="0"/>
          <w:caps w:val="0"/>
          <w:color w:val="000000"/>
          <w:spacing w:val="0"/>
          <w:sz w:val="24"/>
          <w:szCs w:val="24"/>
          <w:highlight w:val="none"/>
          <w:shd w:val="clear" w:color="auto" w:fill="FFFFFF"/>
        </w:rPr>
        <w:t>保留对本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及比选文件的解释权。</w:t>
      </w:r>
      <w:r>
        <w:rPr>
          <w:rFonts w:hint="eastAsia" w:cs="宋体"/>
          <w:i w:val="0"/>
          <w:iCs w:val="0"/>
          <w:caps w:val="0"/>
          <w:color w:val="000000"/>
          <w:spacing w:val="0"/>
          <w:sz w:val="24"/>
          <w:szCs w:val="24"/>
          <w:highlight w:val="none"/>
          <w:shd w:val="clear" w:color="auto" w:fill="FFFFFF"/>
          <w:lang w:eastAsia="zh-CN"/>
        </w:rPr>
        <w:t>本单位</w:t>
      </w:r>
      <w:r>
        <w:rPr>
          <w:rFonts w:hint="default" w:ascii="宋体" w:hAnsi="宋体" w:eastAsia="宋体" w:cs="宋体"/>
          <w:i w:val="0"/>
          <w:iCs w:val="0"/>
          <w:caps w:val="0"/>
          <w:color w:val="000000"/>
          <w:spacing w:val="0"/>
          <w:sz w:val="24"/>
          <w:szCs w:val="24"/>
          <w:highlight w:val="none"/>
          <w:shd w:val="clear" w:color="auto" w:fill="FFFFFF"/>
        </w:rPr>
        <w:t>保留撤回/取消本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及比选文件的权利而无需承担任何责任。请拟参选单位审慎阅读本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，若有不明之处可联系</w:t>
      </w:r>
      <w:r>
        <w:rPr>
          <w:rFonts w:hint="default" w:ascii="宋体" w:hAnsi="宋体" w:eastAsia="宋体" w:cs="宋体"/>
          <w:i w:val="0"/>
          <w:iCs w:val="0"/>
          <w:caps w:val="0"/>
          <w:color w:val="000000"/>
          <w:spacing w:val="0"/>
          <w:sz w:val="24"/>
          <w:szCs w:val="24"/>
          <w:highlight w:val="none"/>
          <w:shd w:val="clear" w:color="auto" w:fill="FFFFFF"/>
          <w:lang w:eastAsia="zh-CN"/>
        </w:rPr>
        <w:t>问询。</w:t>
      </w:r>
    </w:p>
    <w:p w14:paraId="7D03B432">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3.</w:t>
      </w: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4.</w:t>
      </w:r>
      <w:r>
        <w:rPr>
          <w:rFonts w:hint="default" w:ascii="宋体" w:hAnsi="宋体" w:eastAsia="宋体" w:cs="宋体"/>
          <w:i w:val="0"/>
          <w:iCs w:val="0"/>
          <w:caps w:val="0"/>
          <w:color w:val="000000"/>
          <w:spacing w:val="0"/>
          <w:sz w:val="24"/>
          <w:szCs w:val="24"/>
          <w:highlight w:val="none"/>
          <w:shd w:val="clear" w:color="auto" w:fill="FFFFFF"/>
        </w:rPr>
        <w:t>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442E61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5174915E">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w:t>
      </w:r>
      <w:r>
        <w:rPr>
          <w:rFonts w:hint="eastAsia" w:cs="宋体"/>
          <w:color w:val="000000"/>
          <w:sz w:val="24"/>
          <w:szCs w:val="24"/>
          <w:highlight w:val="none"/>
          <w:lang w:eastAsia="zh-CN"/>
        </w:rPr>
        <w:t>三</w:t>
      </w:r>
      <w:r>
        <w:rPr>
          <w:rFonts w:hint="eastAsia" w:ascii="宋体" w:hAnsi="宋体" w:eastAsia="宋体" w:cs="宋体"/>
          <w:color w:val="000000"/>
          <w:sz w:val="24"/>
          <w:szCs w:val="24"/>
          <w:highlight w:val="none"/>
        </w:rPr>
        <w:t>号会议室</w:t>
      </w:r>
    </w:p>
    <w:p w14:paraId="736BD23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w:t>
      </w:r>
      <w:r>
        <w:rPr>
          <w:rFonts w:hint="eastAsia" w:cs="宋体"/>
          <w:color w:val="000000"/>
          <w:sz w:val="24"/>
          <w:szCs w:val="24"/>
          <w:highlight w:val="none"/>
          <w:lang w:val="en-US" w:eastAsia="zh-CN"/>
        </w:rPr>
        <w:t>89870</w:t>
      </w:r>
      <w:r>
        <w:rPr>
          <w:rFonts w:hint="eastAsia" w:ascii="宋体" w:hAnsi="宋体" w:eastAsia="宋体" w:cs="宋体"/>
          <w:color w:val="000000"/>
          <w:sz w:val="24"/>
          <w:szCs w:val="24"/>
          <w:highlight w:val="none"/>
        </w:rPr>
        <w:t>113 </w:t>
      </w:r>
    </w:p>
    <w:p w14:paraId="20A4E0C3">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21"/>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bookmarkStart w:id="6" w:name="_GoBack"/>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bookmarkEnd w:id="6"/>
    </w:p>
    <w:p w14:paraId="4CB5728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301C4713">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5FB7C4A">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7BAE0D5">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D4F53C5">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461E0C0">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3F37DE0">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A71196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8B802A1">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27194E8">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7FDD0609">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FFB982A">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2BED76FC">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5"/>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8"/>
          <w:szCs w:val="28"/>
          <w:highlight w:val="none"/>
        </w:rPr>
      </w:pPr>
      <w:r>
        <w:rPr>
          <w:rFonts w:hint="eastAsia"/>
          <w:b/>
          <w:bCs/>
          <w:sz w:val="28"/>
          <w:szCs w:val="28"/>
          <w:highlight w:val="none"/>
          <w:lang w:eastAsia="zh-CN"/>
        </w:rPr>
        <w:t>招标内容</w:t>
      </w:r>
    </w:p>
    <w:p w14:paraId="3AB9D84C">
      <w:pPr>
        <w:numPr>
          <w:ilvl w:val="0"/>
          <w:numId w:val="0"/>
        </w:numPr>
        <w:spacing w:line="360" w:lineRule="auto"/>
        <w:rPr>
          <w:rFonts w:ascii="宋体" w:hAnsi="宋体"/>
          <w:sz w:val="28"/>
          <w:szCs w:val="28"/>
          <w:highlight w:val="none"/>
        </w:rPr>
      </w:pPr>
      <w:r>
        <w:rPr>
          <w:rFonts w:hint="eastAsia" w:ascii="宋体" w:hAnsi="宋体"/>
          <w:sz w:val="28"/>
          <w:szCs w:val="28"/>
          <w:highlight w:val="none"/>
        </w:rPr>
        <w:t>（一）招标单位：温州市第七人民医院</w:t>
      </w:r>
    </w:p>
    <w:p w14:paraId="015D1ABF">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（二）项目名称：</w:t>
      </w:r>
      <w:r>
        <w:rPr>
          <w:rFonts w:hint="eastAsia" w:ascii="Times New Roman" w:hAnsi="Times New Roman" w:eastAsia="宋体" w:cs="Times New Roman"/>
          <w:b w:val="0"/>
          <w:bCs w:val="0"/>
          <w:kern w:val="2"/>
          <w:sz w:val="28"/>
          <w:szCs w:val="28"/>
          <w:highlight w:val="none"/>
          <w:lang w:val="en-US" w:eastAsia="zh-CN" w:bidi="ar-SA"/>
        </w:rPr>
        <w:t>心理健康定向赛</w:t>
      </w:r>
    </w:p>
    <w:p w14:paraId="341FDFD5">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（三）预算金额：</w:t>
      </w:r>
      <w:r>
        <w:rPr>
          <w:rFonts w:hint="eastAsia" w:ascii="宋体" w:hAnsi="宋体"/>
          <w:sz w:val="28"/>
          <w:szCs w:val="28"/>
          <w:highlight w:val="none"/>
          <w:lang w:val="en-US" w:eastAsia="zh-CN"/>
        </w:rPr>
        <w:t>40000</w:t>
      </w:r>
      <w:r>
        <w:rPr>
          <w:rFonts w:hint="eastAsia" w:ascii="宋体" w:hAnsi="宋体"/>
          <w:sz w:val="28"/>
          <w:szCs w:val="28"/>
          <w:highlight w:val="none"/>
        </w:rPr>
        <w:t>元</w:t>
      </w:r>
    </w:p>
    <w:p w14:paraId="79EF5E11">
      <w:pPr>
        <w:numPr>
          <w:ilvl w:val="0"/>
          <w:numId w:val="0"/>
        </w:numPr>
        <w:spacing w:line="360" w:lineRule="auto"/>
        <w:rPr>
          <w:rFonts w:hint="eastAsia" w:ascii="宋体" w:hAnsi="宋体" w:eastAsia="宋体"/>
          <w:sz w:val="28"/>
          <w:szCs w:val="28"/>
          <w:highlight w:val="none"/>
          <w:lang w:eastAsia="zh-CN"/>
        </w:rPr>
      </w:pPr>
      <w:r>
        <w:rPr>
          <w:rFonts w:hint="eastAsia" w:ascii="宋体" w:hAnsi="宋体"/>
          <w:sz w:val="28"/>
          <w:szCs w:val="28"/>
          <w:highlight w:val="none"/>
        </w:rPr>
        <w:t>（四）采购</w:t>
      </w:r>
      <w:r>
        <w:rPr>
          <w:rFonts w:hint="eastAsia" w:ascii="宋体" w:hAnsi="宋体"/>
          <w:sz w:val="28"/>
          <w:szCs w:val="28"/>
          <w:highlight w:val="none"/>
          <w:lang w:eastAsia="zh-CN"/>
        </w:rPr>
        <w:t>内容</w:t>
      </w:r>
      <w:r>
        <w:rPr>
          <w:rFonts w:hint="eastAsia" w:ascii="宋体" w:hAnsi="宋体"/>
          <w:sz w:val="28"/>
          <w:szCs w:val="28"/>
          <w:highlight w:val="none"/>
        </w:rPr>
        <w:t>：</w:t>
      </w:r>
      <w:r>
        <w:rPr>
          <w:rFonts w:hint="eastAsia" w:ascii="宋体" w:hAnsi="宋体"/>
          <w:sz w:val="28"/>
          <w:szCs w:val="28"/>
          <w:highlight w:val="none"/>
          <w:lang w:eastAsia="zh-CN"/>
        </w:rPr>
        <w:t>详见清单</w:t>
      </w:r>
    </w:p>
    <w:p w14:paraId="656EB0B2">
      <w:pPr>
        <w:numPr>
          <w:ilvl w:val="0"/>
          <w:numId w:val="2"/>
        </w:numPr>
        <w:spacing w:line="360" w:lineRule="auto"/>
        <w:rPr>
          <w:rFonts w:hint="eastAsia" w:ascii="Times New Roman" w:hAnsi="Times New Roman" w:eastAsia="宋体" w:cs="Times New Roman"/>
          <w:b/>
          <w:bCs/>
          <w:kern w:val="2"/>
          <w:sz w:val="28"/>
          <w:szCs w:val="28"/>
          <w:highlight w:val="none"/>
          <w:lang w:val="en-US" w:eastAsia="zh-CN" w:bidi="ar-SA"/>
        </w:rPr>
      </w:pPr>
      <w:r>
        <w:rPr>
          <w:rFonts w:hint="eastAsia"/>
          <w:b/>
          <w:bCs/>
          <w:sz w:val="28"/>
          <w:szCs w:val="28"/>
          <w:highlight w:val="none"/>
          <w:lang w:eastAsia="zh-CN"/>
        </w:rPr>
        <w:t>采购内容</w:t>
      </w:r>
    </w:p>
    <w:p w14:paraId="63295BFC">
      <w:pPr>
        <w:numPr>
          <w:ilvl w:val="0"/>
          <w:numId w:val="0"/>
        </w:numPr>
        <w:ind w:firstLine="280" w:firstLineChars="100"/>
        <w:outlineLvl w:val="1"/>
        <w:rPr>
          <w:rFonts w:hint="eastAsia" w:ascii="Times New Roman" w:hAnsi="Times New Roman" w:eastAsia="宋体" w:cs="Times New Roman"/>
          <w:b w:val="0"/>
          <w:bCs w:val="0"/>
          <w:kern w:val="2"/>
          <w:sz w:val="28"/>
          <w:szCs w:val="28"/>
          <w:highlight w:val="none"/>
          <w:lang w:val="en-US" w:eastAsia="zh-CN" w:bidi="ar-SA"/>
        </w:rPr>
      </w:pPr>
      <w:r>
        <w:rPr>
          <w:rFonts w:hint="eastAsia" w:ascii="Times New Roman" w:hAnsi="Times New Roman" w:eastAsia="宋体" w:cs="Times New Roman"/>
          <w:b w:val="0"/>
          <w:bCs w:val="0"/>
          <w:kern w:val="2"/>
          <w:sz w:val="28"/>
          <w:szCs w:val="28"/>
          <w:highlight w:val="none"/>
          <w:lang w:val="en-US" w:eastAsia="zh-CN" w:bidi="ar-SA"/>
        </w:rPr>
        <w:t>举办“医起动起来·健康向未来”心理健康定向赛</w:t>
      </w:r>
    </w:p>
    <w:p w14:paraId="6980A301">
      <w:pPr>
        <w:numPr>
          <w:ilvl w:val="0"/>
          <w:numId w:val="0"/>
        </w:numPr>
        <w:ind w:leftChars="0" w:firstLine="280" w:firstLineChars="100"/>
        <w:outlineLvl w:val="1"/>
        <w:rPr>
          <w:rFonts w:hint="eastAsia" w:ascii="Times New Roman" w:hAnsi="Times New Roman" w:eastAsia="宋体" w:cs="Times New Roman"/>
          <w:b w:val="0"/>
          <w:bCs w:val="0"/>
          <w:kern w:val="2"/>
          <w:sz w:val="28"/>
          <w:szCs w:val="28"/>
          <w:highlight w:val="none"/>
          <w:lang w:val="en-US" w:eastAsia="zh-CN" w:bidi="ar-SA"/>
        </w:rPr>
      </w:pPr>
      <w:r>
        <w:rPr>
          <w:rFonts w:hint="eastAsia" w:ascii="Times New Roman" w:hAnsi="Times New Roman" w:eastAsia="宋体" w:cs="Times New Roman"/>
          <w:b w:val="0"/>
          <w:bCs w:val="0"/>
          <w:kern w:val="2"/>
          <w:sz w:val="28"/>
          <w:szCs w:val="28"/>
          <w:highlight w:val="none"/>
          <w:lang w:val="en-US" w:eastAsia="zh-CN" w:bidi="ar-SA"/>
        </w:rPr>
        <w:t>在杨府山设置心理健康知识点位，全市各级医疗卫生单位人员以团队形式参与，通过解答心理知识题目、完成情绪管理挑战、团队协作任务等环节，获取下一站线索。比赛融入压力应对、家庭沟通、情绪调节等心理健康元素，以趣味互动方式提升市民心理健康素养。</w:t>
      </w:r>
    </w:p>
    <w:p w14:paraId="683B40D3">
      <w:pPr>
        <w:numPr>
          <w:ilvl w:val="0"/>
          <w:numId w:val="0"/>
        </w:numPr>
        <w:ind w:leftChars="0" w:firstLine="280" w:firstLineChars="100"/>
        <w:outlineLvl w:val="1"/>
        <w:rPr>
          <w:rFonts w:hint="eastAsia" w:ascii="Times New Roman" w:hAnsi="Times New Roman" w:eastAsia="宋体" w:cs="Times New Roman"/>
          <w:b w:val="0"/>
          <w:bCs w:val="0"/>
          <w:kern w:val="2"/>
          <w:sz w:val="28"/>
          <w:szCs w:val="28"/>
          <w:highlight w:val="none"/>
          <w:lang w:val="en-US" w:eastAsia="zh-CN" w:bidi="ar-SA"/>
        </w:rPr>
      </w:pPr>
      <w:r>
        <w:rPr>
          <w:rFonts w:hint="eastAsia" w:ascii="Times New Roman" w:hAnsi="Times New Roman" w:eastAsia="宋体" w:cs="Times New Roman"/>
          <w:b w:val="0"/>
          <w:bCs w:val="0"/>
          <w:kern w:val="2"/>
          <w:sz w:val="28"/>
          <w:szCs w:val="28"/>
          <w:highlight w:val="none"/>
          <w:lang w:val="en-US" w:eastAsia="zh-CN" w:bidi="ar-SA"/>
        </w:rPr>
        <w:t>负责制定心理健康定向赛活动方案，并执行该方案。</w:t>
      </w:r>
    </w:p>
    <w:p w14:paraId="290F3FDD">
      <w:pPr>
        <w:numPr>
          <w:ilvl w:val="0"/>
          <w:numId w:val="0"/>
        </w:numPr>
        <w:ind w:leftChars="0" w:firstLine="280" w:firstLineChars="100"/>
        <w:outlineLvl w:val="1"/>
        <w:rPr>
          <w:rFonts w:hint="eastAsia" w:ascii="Times New Roman" w:hAnsi="Times New Roman" w:eastAsia="宋体" w:cs="Times New Roman"/>
          <w:b w:val="0"/>
          <w:bCs w:val="0"/>
          <w:kern w:val="2"/>
          <w:sz w:val="28"/>
          <w:szCs w:val="28"/>
          <w:highlight w:val="none"/>
          <w:lang w:val="en-US" w:eastAsia="zh-CN" w:bidi="ar-SA"/>
        </w:rPr>
      </w:pPr>
      <w:r>
        <w:rPr>
          <w:rFonts w:hint="eastAsia" w:ascii="Times New Roman" w:hAnsi="Times New Roman" w:eastAsia="宋体" w:cs="Times New Roman"/>
          <w:b w:val="0"/>
          <w:bCs w:val="0"/>
          <w:kern w:val="2"/>
          <w:sz w:val="28"/>
          <w:szCs w:val="28"/>
          <w:highlight w:val="none"/>
          <w:lang w:val="en-US" w:eastAsia="zh-CN" w:bidi="ar-SA"/>
        </w:rPr>
        <w:t>参赛人数：5 人一队，</w:t>
      </w:r>
      <w:r>
        <w:rPr>
          <w:rFonts w:hint="eastAsia" w:cs="Times New Roman"/>
          <w:b w:val="0"/>
          <w:bCs w:val="0"/>
          <w:kern w:val="2"/>
          <w:sz w:val="28"/>
          <w:szCs w:val="28"/>
          <w:highlight w:val="none"/>
          <w:lang w:val="en-US" w:eastAsia="zh-CN" w:bidi="ar-SA"/>
        </w:rPr>
        <w:t>10-15</w:t>
      </w:r>
      <w:r>
        <w:rPr>
          <w:rFonts w:hint="eastAsia" w:ascii="Times New Roman" w:hAnsi="Times New Roman" w:eastAsia="宋体" w:cs="Times New Roman"/>
          <w:b w:val="0"/>
          <w:bCs w:val="0"/>
          <w:kern w:val="2"/>
          <w:sz w:val="28"/>
          <w:szCs w:val="28"/>
          <w:highlight w:val="none"/>
          <w:lang w:val="en-US" w:eastAsia="zh-CN" w:bidi="ar-SA"/>
        </w:rPr>
        <w:t>队</w:t>
      </w:r>
      <w:r>
        <w:rPr>
          <w:rFonts w:hint="eastAsia" w:cs="Times New Roman"/>
          <w:b w:val="0"/>
          <w:bCs w:val="0"/>
          <w:kern w:val="2"/>
          <w:sz w:val="28"/>
          <w:szCs w:val="28"/>
          <w:highlight w:val="none"/>
          <w:lang w:val="en-US" w:eastAsia="zh-CN" w:bidi="ar-SA"/>
        </w:rPr>
        <w:t>（预计）。</w:t>
      </w:r>
    </w:p>
    <w:p w14:paraId="48BC7838">
      <w:pPr>
        <w:numPr>
          <w:ilvl w:val="0"/>
          <w:numId w:val="0"/>
        </w:numPr>
        <w:ind w:leftChars="0" w:firstLine="280" w:firstLineChars="100"/>
        <w:outlineLvl w:val="1"/>
        <w:rPr>
          <w:rFonts w:hint="eastAsia" w:cs="Times New Roman"/>
          <w:b w:val="0"/>
          <w:bCs w:val="0"/>
          <w:kern w:val="2"/>
          <w:sz w:val="28"/>
          <w:szCs w:val="28"/>
          <w:highlight w:val="none"/>
          <w:lang w:val="en-US" w:eastAsia="zh-CN" w:bidi="ar-SA"/>
        </w:rPr>
      </w:pPr>
      <w:r>
        <w:rPr>
          <w:rFonts w:hint="eastAsia" w:cs="Times New Roman"/>
          <w:b w:val="0"/>
          <w:bCs w:val="0"/>
          <w:kern w:val="2"/>
          <w:sz w:val="28"/>
          <w:szCs w:val="28"/>
          <w:highlight w:val="none"/>
          <w:lang w:val="en-US" w:eastAsia="zh-CN" w:bidi="ar-SA"/>
        </w:rPr>
        <w:t>项目报价为完成该项目所需全部物品（包括所有安装配件）、物料、人工、相关税金，以及服务等全部费用。</w:t>
      </w:r>
    </w:p>
    <w:p w14:paraId="50BFB9B6">
      <w:pPr>
        <w:numPr>
          <w:ilvl w:val="0"/>
          <w:numId w:val="0"/>
        </w:numPr>
        <w:ind w:leftChars="0" w:firstLine="280" w:firstLineChars="100"/>
        <w:outlineLvl w:val="1"/>
        <w:rPr>
          <w:rFonts w:hint="eastAsia" w:cs="Times New Roman"/>
          <w:b w:val="0"/>
          <w:bCs w:val="0"/>
          <w:kern w:val="2"/>
          <w:sz w:val="28"/>
          <w:szCs w:val="28"/>
          <w:highlight w:val="none"/>
          <w:lang w:val="en-US" w:eastAsia="zh-CN" w:bidi="ar-SA"/>
        </w:rPr>
      </w:pPr>
    </w:p>
    <w:p w14:paraId="41776532">
      <w:pPr>
        <w:numPr>
          <w:ilvl w:val="0"/>
          <w:numId w:val="0"/>
        </w:numPr>
        <w:ind w:leftChars="0" w:firstLine="280" w:firstLineChars="100"/>
        <w:outlineLvl w:val="1"/>
        <w:rPr>
          <w:rFonts w:hint="eastAsia" w:cs="Times New Roman"/>
          <w:b w:val="0"/>
          <w:bCs w:val="0"/>
          <w:kern w:val="2"/>
          <w:sz w:val="28"/>
          <w:szCs w:val="28"/>
          <w:highlight w:val="none"/>
          <w:lang w:val="en-US" w:eastAsia="zh-CN" w:bidi="ar-SA"/>
        </w:rPr>
      </w:pPr>
    </w:p>
    <w:p w14:paraId="325A497C">
      <w:pPr>
        <w:numPr>
          <w:ilvl w:val="0"/>
          <w:numId w:val="0"/>
        </w:numPr>
        <w:ind w:leftChars="0" w:firstLine="280" w:firstLineChars="100"/>
        <w:outlineLvl w:val="1"/>
        <w:rPr>
          <w:rFonts w:hint="eastAsia" w:ascii="Times New Roman" w:hAnsi="Times New Roman" w:eastAsia="宋体" w:cs="Times New Roman"/>
          <w:b w:val="0"/>
          <w:bCs w:val="0"/>
          <w:kern w:val="2"/>
          <w:sz w:val="28"/>
          <w:szCs w:val="28"/>
          <w:highlight w:val="none"/>
          <w:lang w:val="en-US" w:eastAsia="zh-CN" w:bidi="ar-SA"/>
        </w:rPr>
      </w:pPr>
      <w:r>
        <w:rPr>
          <w:rFonts w:hint="eastAsia" w:ascii="Times New Roman" w:hAnsi="Times New Roman" w:eastAsia="宋体" w:cs="Times New Roman"/>
          <w:b w:val="0"/>
          <w:bCs w:val="0"/>
          <w:kern w:val="2"/>
          <w:sz w:val="28"/>
          <w:szCs w:val="28"/>
          <w:highlight w:val="none"/>
          <w:lang w:val="en-US" w:eastAsia="zh-CN" w:bidi="ar-SA"/>
        </w:rPr>
        <w:t>★投标人可根据以上所列服务要求作为提供服务内容依据，但所提供服务应相当于或高于招标文件要求，并满足采购需求，否则将作为无效投标。</w:t>
      </w:r>
    </w:p>
    <w:p w14:paraId="7C02A97A">
      <w:pPr>
        <w:numPr>
          <w:ilvl w:val="0"/>
          <w:numId w:val="0"/>
        </w:numPr>
        <w:ind w:leftChars="0" w:firstLine="281" w:firstLineChars="100"/>
        <w:outlineLvl w:val="1"/>
        <w:rPr>
          <w:rFonts w:hint="eastAsia" w:ascii="Times New Roman" w:hAnsi="Times New Roman" w:eastAsia="宋体" w:cs="Times New Roman"/>
          <w:b/>
          <w:bCs/>
          <w:kern w:val="2"/>
          <w:sz w:val="28"/>
          <w:szCs w:val="28"/>
          <w:highlight w:val="none"/>
          <w:lang w:val="en-US" w:eastAsia="zh-CN" w:bidi="ar-SA"/>
        </w:rPr>
      </w:pPr>
    </w:p>
    <w:p w14:paraId="54FA85B6">
      <w:pPr>
        <w:numPr>
          <w:ilvl w:val="0"/>
          <w:numId w:val="0"/>
        </w:numPr>
        <w:ind w:leftChars="0"/>
        <w:outlineLvl w:val="1"/>
        <w:rPr>
          <w:rFonts w:hint="default" w:ascii="Times New Roman" w:hAnsi="Times New Roman" w:eastAsia="宋体" w:cs="Times New Roman"/>
          <w:b/>
          <w:bCs/>
          <w:kern w:val="2"/>
          <w:sz w:val="28"/>
          <w:szCs w:val="28"/>
          <w:highlight w:val="none"/>
          <w:lang w:val="en-US" w:eastAsia="zh-CN" w:bidi="ar-SA"/>
        </w:rPr>
      </w:pPr>
    </w:p>
    <w:p w14:paraId="404CD7BF">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三</w:t>
      </w:r>
      <w:r>
        <w:rPr>
          <w:rFonts w:hint="eastAsia" w:ascii="Times New Roman" w:hAnsi="Times New Roman" w:eastAsia="宋体" w:cs="Times New Roman"/>
          <w:b/>
          <w:bCs/>
          <w:kern w:val="2"/>
          <w:sz w:val="28"/>
          <w:szCs w:val="28"/>
          <w:highlight w:val="none"/>
          <w:lang w:val="en-US" w:eastAsia="zh-CN" w:bidi="ar-SA"/>
        </w:rPr>
        <w:t>、投标文件组成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8"/>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sz w:val="24"/>
                <w:szCs w:val="24"/>
                <w:highlight w:val="none"/>
                <w:lang w:val="en-US" w:eastAsia="zh-CN"/>
              </w:rPr>
              <w:t>如有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06220A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8"/>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spacing w:line="360" w:lineRule="auto"/>
        <w:ind w:firstLine="720" w:firstLineChars="300"/>
        <w:rPr>
          <w:rFonts w:hint="eastAsia" w:ascii="宋体" w:hAnsi="宋体" w:eastAsia="宋体" w:cs="宋体"/>
          <w:sz w:val="24"/>
          <w:szCs w:val="24"/>
          <w:highlight w:val="none"/>
        </w:rPr>
      </w:pPr>
    </w:p>
    <w:p w14:paraId="7A2B795A">
      <w:pPr>
        <w:spacing w:line="360" w:lineRule="auto"/>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投标人应提供一式四份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0E6B38C8">
      <w:pPr>
        <w:pStyle w:val="5"/>
        <w:ind w:left="0" w:leftChars="0" w:firstLine="0" w:firstLineChars="0"/>
        <w:rPr>
          <w:rFonts w:hint="eastAsia" w:ascii="新宋体" w:hAnsi="新宋体" w:eastAsia="新宋体" w:cs="宋体"/>
          <w:b/>
          <w:bCs/>
          <w:kern w:val="0"/>
          <w:sz w:val="32"/>
          <w:szCs w:val="32"/>
          <w:highlight w:val="none"/>
          <w:lang w:val="en-US" w:eastAsia="zh-CN" w:bidi="ar-SA"/>
        </w:rPr>
      </w:pPr>
    </w:p>
    <w:p w14:paraId="7B0CD2B9">
      <w:pPr>
        <w:rPr>
          <w:rFonts w:hint="eastAsia"/>
          <w:lang w:val="en-US" w:eastAsia="zh-CN"/>
        </w:rPr>
      </w:pPr>
    </w:p>
    <w:p w14:paraId="35552DA0">
      <w:pPr>
        <w:rPr>
          <w:rFonts w:hint="eastAsia"/>
          <w:lang w:val="en-US" w:eastAsia="zh-CN"/>
        </w:rPr>
      </w:pPr>
    </w:p>
    <w:p w14:paraId="5F029E21">
      <w:pPr>
        <w:rPr>
          <w:rFonts w:hint="eastAsia"/>
          <w:lang w:val="en-US" w:eastAsia="zh-CN"/>
        </w:rPr>
      </w:pPr>
    </w:p>
    <w:p w14:paraId="58B968B0">
      <w:pPr>
        <w:bidi w:val="0"/>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14:paraId="0145CDDF">
      <w:pPr>
        <w:pStyle w:val="15"/>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0" w:name="_Toc15153"/>
      <w:bookmarkStart w:id="1" w:name="_Toc67"/>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0"/>
      <w:bookmarkEnd w:id="1"/>
    </w:p>
    <w:p w14:paraId="23A709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bookmarkStart w:id="2" w:name="_Toc24825"/>
      <w:bookmarkStart w:id="3" w:name="_Toc11306"/>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2"/>
      <w:bookmarkEnd w:id="3"/>
    </w:p>
    <w:p w14:paraId="18AFDA39">
      <w:pPr>
        <w:spacing w:line="360" w:lineRule="auto"/>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90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90</w:t>
      </w:r>
      <w:r>
        <w:rPr>
          <w:rFonts w:hint="eastAsia" w:asciiTheme="majorEastAsia" w:hAnsiTheme="majorEastAsia" w:eastAsiaTheme="majorEastAsia" w:cstheme="majorEastAsia"/>
          <w:b/>
          <w:color w:val="auto"/>
          <w:sz w:val="24"/>
          <w:szCs w:val="24"/>
          <w:highlight w:val="none"/>
        </w:rPr>
        <w:t>%）</w:t>
      </w:r>
      <w:r>
        <w:rPr>
          <w:rFonts w:hint="eastAsia" w:asciiTheme="majorEastAsia" w:hAnsiTheme="majorEastAsia" w:eastAsiaTheme="majorEastAsia" w:cstheme="majorEastAsia"/>
          <w:b/>
          <w:color w:val="auto"/>
          <w:sz w:val="24"/>
          <w:szCs w:val="24"/>
          <w:highlight w:val="none"/>
          <w:lang w:eastAsia="zh-CN"/>
        </w:rPr>
        <w:t>，商务分</w:t>
      </w:r>
      <w:r>
        <w:rPr>
          <w:rFonts w:hint="eastAsia" w:asciiTheme="majorEastAsia" w:hAnsiTheme="majorEastAsia" w:eastAsiaTheme="majorEastAsia" w:cstheme="majorEastAsia"/>
          <w:b/>
          <w:color w:val="auto"/>
          <w:sz w:val="24"/>
          <w:szCs w:val="24"/>
          <w:highlight w:val="none"/>
          <w:lang w:val="en-US" w:eastAsia="zh-CN"/>
        </w:rPr>
        <w:t>10分</w:t>
      </w:r>
      <w:r>
        <w:rPr>
          <w:rFonts w:hint="eastAsia" w:asciiTheme="majorEastAsia" w:hAnsiTheme="majorEastAsia" w:eastAsiaTheme="majorEastAsia" w:cstheme="majorEastAsia"/>
          <w:b/>
          <w:color w:val="auto"/>
          <w:sz w:val="24"/>
          <w:szCs w:val="24"/>
          <w:highlight w:val="none"/>
          <w:lang w:eastAsia="zh-CN"/>
        </w:rPr>
        <w:t>（权值</w:t>
      </w:r>
      <w:r>
        <w:rPr>
          <w:rFonts w:hint="eastAsia" w:asciiTheme="majorEastAsia" w:hAnsiTheme="majorEastAsia" w:eastAsiaTheme="majorEastAsia" w:cstheme="majorEastAsia"/>
          <w:b/>
          <w:color w:val="auto"/>
          <w:sz w:val="24"/>
          <w:szCs w:val="24"/>
          <w:highlight w:val="none"/>
          <w:lang w:val="en-US" w:eastAsia="zh-CN"/>
        </w:rPr>
        <w:t>10</w:t>
      </w:r>
      <w:r>
        <w:rPr>
          <w:rFonts w:hint="eastAsia" w:asciiTheme="majorEastAsia" w:hAnsiTheme="majorEastAsia" w:eastAsiaTheme="majorEastAsia" w:cstheme="majorEastAsia"/>
          <w:b/>
          <w:color w:val="auto"/>
          <w:sz w:val="24"/>
          <w:szCs w:val="24"/>
          <w:highlight w:val="none"/>
        </w:rPr>
        <w:t>%</w:t>
      </w:r>
      <w:r>
        <w:rPr>
          <w:rFonts w:hint="eastAsia" w:asciiTheme="majorEastAsia" w:hAnsiTheme="majorEastAsia" w:eastAsiaTheme="majorEastAsia" w:cstheme="majorEastAsia"/>
          <w:b/>
          <w:color w:val="auto"/>
          <w:sz w:val="24"/>
          <w:szCs w:val="24"/>
          <w:highlight w:val="none"/>
          <w:lang w:eastAsia="zh-CN"/>
        </w:rPr>
        <w:t>）</w:t>
      </w:r>
      <w:r>
        <w:rPr>
          <w:rFonts w:hint="eastAsia" w:asciiTheme="majorEastAsia" w:hAnsiTheme="majorEastAsia" w:eastAsiaTheme="majorEastAsia" w:cstheme="majorEastAsia"/>
          <w:b/>
          <w:color w:val="auto"/>
          <w:sz w:val="24"/>
          <w:szCs w:val="24"/>
          <w:highlight w:val="none"/>
        </w:rPr>
        <w:t>。</w:t>
      </w:r>
    </w:p>
    <w:p w14:paraId="4308555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4" w:name="_Toc1535"/>
      <w:bookmarkStart w:id="5" w:name="_Toc11450"/>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4"/>
      <w:bookmarkEnd w:id="5"/>
    </w:p>
    <w:p w14:paraId="2D0FD410">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1、技术分的评定：技术标</w:t>
      </w:r>
      <w:r>
        <w:rPr>
          <w:rFonts w:hint="eastAsia" w:asciiTheme="majorEastAsia" w:hAnsiTheme="majorEastAsia" w:eastAsiaTheme="majorEastAsia" w:cstheme="majorEastAsia"/>
          <w:b/>
          <w:color w:val="auto"/>
          <w:sz w:val="24"/>
          <w:szCs w:val="24"/>
          <w:highlight w:val="none"/>
          <w:lang w:val="en-US" w:eastAsia="zh-CN"/>
        </w:rPr>
        <w:t>90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90</w:t>
      </w:r>
      <w:r>
        <w:rPr>
          <w:rFonts w:hint="eastAsia" w:asciiTheme="majorEastAsia" w:hAnsiTheme="majorEastAsia" w:eastAsiaTheme="majorEastAsia" w:cstheme="majorEastAsia"/>
          <w:b/>
          <w:color w:val="auto"/>
          <w:sz w:val="24"/>
          <w:szCs w:val="24"/>
          <w:highlight w:val="none"/>
        </w:rPr>
        <w:t>%）</w:t>
      </w:r>
    </w:p>
    <w:p w14:paraId="39AE71A3">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p w14:paraId="75EA5A25">
      <w:pPr>
        <w:spacing w:line="360" w:lineRule="auto"/>
        <w:ind w:firstLine="588" w:firstLineChars="245"/>
        <w:rPr>
          <w:rFonts w:hint="eastAsia" w:asciiTheme="majorEastAsia" w:hAnsiTheme="majorEastAsia" w:eastAsiaTheme="majorEastAsia" w:cstheme="majorEastAsia"/>
          <w:color w:val="auto"/>
          <w:sz w:val="24"/>
          <w:szCs w:val="24"/>
          <w:highlight w:val="none"/>
        </w:rPr>
      </w:pPr>
    </w:p>
    <w:p w14:paraId="7DE3759F">
      <w:pPr>
        <w:spacing w:line="360" w:lineRule="auto"/>
        <w:ind w:firstLine="588" w:firstLineChars="245"/>
        <w:rPr>
          <w:rFonts w:hint="eastAsia" w:asciiTheme="majorEastAsia" w:hAnsiTheme="majorEastAsia" w:eastAsiaTheme="majorEastAsia" w:cstheme="majorEastAsia"/>
          <w:color w:val="auto"/>
          <w:sz w:val="24"/>
          <w:szCs w:val="24"/>
          <w:highlight w:val="none"/>
        </w:rPr>
      </w:pPr>
    </w:p>
    <w:p w14:paraId="7ED50AE2">
      <w:pPr>
        <w:spacing w:line="360" w:lineRule="auto"/>
        <w:ind w:firstLine="588" w:firstLineChars="245"/>
        <w:rPr>
          <w:rFonts w:hint="eastAsia" w:asciiTheme="majorEastAsia" w:hAnsiTheme="majorEastAsia" w:eastAsiaTheme="majorEastAsia" w:cstheme="majorEastAsia"/>
          <w:color w:val="auto"/>
          <w:sz w:val="24"/>
          <w:szCs w:val="24"/>
          <w:highlight w:val="none"/>
        </w:rPr>
      </w:pPr>
    </w:p>
    <w:p w14:paraId="1815CA90">
      <w:pPr>
        <w:spacing w:line="360" w:lineRule="auto"/>
        <w:ind w:firstLine="588" w:firstLineChars="245"/>
        <w:rPr>
          <w:rFonts w:hint="eastAsia" w:asciiTheme="majorEastAsia" w:hAnsiTheme="majorEastAsia" w:eastAsiaTheme="majorEastAsia" w:cstheme="majorEastAsia"/>
          <w:color w:val="auto"/>
          <w:sz w:val="24"/>
          <w:szCs w:val="24"/>
          <w:highlight w:val="none"/>
        </w:rPr>
      </w:pPr>
    </w:p>
    <w:p w14:paraId="5692C366">
      <w:pPr>
        <w:spacing w:line="360" w:lineRule="auto"/>
        <w:ind w:firstLine="588" w:firstLineChars="245"/>
        <w:rPr>
          <w:rFonts w:hint="eastAsia" w:asciiTheme="majorEastAsia" w:hAnsiTheme="majorEastAsia" w:eastAsiaTheme="majorEastAsia" w:cstheme="majorEastAsia"/>
          <w:color w:val="auto"/>
          <w:sz w:val="24"/>
          <w:szCs w:val="24"/>
          <w:highlight w:val="none"/>
        </w:rPr>
      </w:pPr>
    </w:p>
    <w:p w14:paraId="12F28C74">
      <w:pPr>
        <w:spacing w:line="360" w:lineRule="auto"/>
        <w:ind w:firstLine="588" w:firstLineChars="245"/>
        <w:rPr>
          <w:rFonts w:hint="eastAsia" w:asciiTheme="majorEastAsia" w:hAnsiTheme="majorEastAsia" w:eastAsiaTheme="majorEastAsia" w:cstheme="majorEastAsia"/>
          <w:color w:val="auto"/>
          <w:sz w:val="24"/>
          <w:szCs w:val="24"/>
          <w:highlight w:val="none"/>
        </w:rPr>
      </w:pPr>
    </w:p>
    <w:p w14:paraId="4E08A3EC">
      <w:pPr>
        <w:spacing w:line="360" w:lineRule="auto"/>
        <w:ind w:firstLine="588" w:firstLineChars="245"/>
        <w:rPr>
          <w:rFonts w:hint="eastAsia" w:asciiTheme="majorEastAsia" w:hAnsiTheme="majorEastAsia" w:eastAsiaTheme="majorEastAsia" w:cstheme="majorEastAsia"/>
          <w:color w:val="auto"/>
          <w:sz w:val="24"/>
          <w:szCs w:val="24"/>
          <w:highlight w:val="none"/>
        </w:rPr>
      </w:pPr>
    </w:p>
    <w:p w14:paraId="7818F353">
      <w:pPr>
        <w:spacing w:line="360" w:lineRule="auto"/>
        <w:ind w:firstLine="588" w:firstLineChars="245"/>
        <w:rPr>
          <w:rFonts w:hint="eastAsia" w:asciiTheme="majorEastAsia" w:hAnsiTheme="majorEastAsia" w:eastAsiaTheme="majorEastAsia" w:cstheme="majorEastAsia"/>
          <w:color w:val="auto"/>
          <w:sz w:val="24"/>
          <w:szCs w:val="24"/>
          <w:highlight w:val="none"/>
        </w:rPr>
      </w:pPr>
    </w:p>
    <w:tbl>
      <w:tblPr>
        <w:tblStyle w:val="18"/>
        <w:tblW w:w="8260" w:type="dxa"/>
        <w:jc w:val="center"/>
        <w:tblLayout w:type="autofit"/>
        <w:tblCellMar>
          <w:top w:w="0" w:type="dxa"/>
          <w:left w:w="108" w:type="dxa"/>
          <w:bottom w:w="0" w:type="dxa"/>
          <w:right w:w="108" w:type="dxa"/>
        </w:tblCellMar>
      </w:tblPr>
      <w:tblGrid>
        <w:gridCol w:w="820"/>
        <w:gridCol w:w="5780"/>
        <w:gridCol w:w="1660"/>
      </w:tblGrid>
      <w:tr w14:paraId="56A69DB3">
        <w:tblPrEx>
          <w:tblCellMar>
            <w:top w:w="0" w:type="dxa"/>
            <w:left w:w="108" w:type="dxa"/>
            <w:bottom w:w="0" w:type="dxa"/>
            <w:right w:w="108" w:type="dxa"/>
          </w:tblCellMar>
        </w:tblPrEx>
        <w:trPr>
          <w:trHeight w:val="420" w:hRule="atLeast"/>
          <w:jc w:val="center"/>
        </w:trPr>
        <w:tc>
          <w:tcPr>
            <w:tcW w:w="8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A92638">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序号</w:t>
            </w:r>
          </w:p>
        </w:tc>
        <w:tc>
          <w:tcPr>
            <w:tcW w:w="5780" w:type="dxa"/>
            <w:tcBorders>
              <w:top w:val="single" w:color="auto" w:sz="4" w:space="0"/>
              <w:left w:val="nil"/>
              <w:bottom w:val="single" w:color="auto" w:sz="4" w:space="0"/>
              <w:right w:val="single" w:color="auto" w:sz="4" w:space="0"/>
            </w:tcBorders>
            <w:shd w:val="clear" w:color="auto" w:fill="auto"/>
            <w:noWrap/>
            <w:vAlign w:val="center"/>
          </w:tcPr>
          <w:p w14:paraId="24BD54E9">
            <w:pPr>
              <w:widowControl/>
              <w:jc w:val="left"/>
              <w:rPr>
                <w:rFonts w:ascii="宋体" w:hAnsi="宋体" w:eastAsia="宋体" w:cs="宋体"/>
                <w:color w:val="000000"/>
                <w:kern w:val="0"/>
                <w:sz w:val="22"/>
              </w:rPr>
            </w:pPr>
            <w:r>
              <w:rPr>
                <w:rFonts w:hint="eastAsia" w:ascii="宋体" w:hAnsi="宋体" w:eastAsia="宋体" w:cs="宋体"/>
                <w:color w:val="000000"/>
                <w:kern w:val="0"/>
                <w:sz w:val="22"/>
              </w:rPr>
              <w:t>评分要点及说明</w:t>
            </w:r>
          </w:p>
        </w:tc>
        <w:tc>
          <w:tcPr>
            <w:tcW w:w="1660" w:type="dxa"/>
            <w:tcBorders>
              <w:top w:val="single" w:color="auto" w:sz="4" w:space="0"/>
              <w:left w:val="nil"/>
              <w:bottom w:val="single" w:color="auto" w:sz="4" w:space="0"/>
              <w:right w:val="single" w:color="auto" w:sz="4" w:space="0"/>
            </w:tcBorders>
            <w:shd w:val="clear" w:color="auto" w:fill="auto"/>
            <w:noWrap/>
            <w:vAlign w:val="center"/>
          </w:tcPr>
          <w:p w14:paraId="16359C18">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分值</w:t>
            </w:r>
          </w:p>
        </w:tc>
      </w:tr>
      <w:tr w14:paraId="10AB78C4">
        <w:tblPrEx>
          <w:tblCellMar>
            <w:top w:w="0" w:type="dxa"/>
            <w:left w:w="108" w:type="dxa"/>
            <w:bottom w:w="0" w:type="dxa"/>
            <w:right w:w="108" w:type="dxa"/>
          </w:tblCellMar>
        </w:tblPrEx>
        <w:trPr>
          <w:trHeight w:val="1440" w:hRule="atLeast"/>
          <w:jc w:val="center"/>
        </w:trPr>
        <w:tc>
          <w:tcPr>
            <w:tcW w:w="820" w:type="dxa"/>
            <w:tcBorders>
              <w:top w:val="nil"/>
              <w:left w:val="single" w:color="auto" w:sz="4" w:space="0"/>
              <w:bottom w:val="single" w:color="auto" w:sz="4" w:space="0"/>
              <w:right w:val="single" w:color="auto" w:sz="4" w:space="0"/>
            </w:tcBorders>
            <w:shd w:val="clear" w:color="auto" w:fill="auto"/>
            <w:noWrap/>
            <w:vAlign w:val="center"/>
          </w:tcPr>
          <w:p w14:paraId="5BA95EF8">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5780" w:type="dxa"/>
            <w:tcBorders>
              <w:top w:val="nil"/>
              <w:left w:val="nil"/>
              <w:bottom w:val="single" w:color="auto" w:sz="4" w:space="0"/>
              <w:right w:val="single" w:color="auto" w:sz="4" w:space="0"/>
            </w:tcBorders>
            <w:shd w:val="clear" w:color="auto" w:fill="auto"/>
            <w:vAlign w:val="center"/>
          </w:tcPr>
          <w:p w14:paraId="245C5437">
            <w:pPr>
              <w:widowControl/>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评委依据投标人策划方案中各项活动内容与本次活动的主题“医起动起来·健康向未来”主题的符合性评分。（20分）：</w:t>
            </w:r>
          </w:p>
          <w:p w14:paraId="0B6678EE">
            <w:pPr>
              <w:widowControl/>
              <w:jc w:val="left"/>
              <w:rPr>
                <w:rFonts w:ascii="宋体" w:hAnsi="宋体" w:eastAsia="宋体" w:cs="宋体"/>
                <w:color w:val="000000"/>
                <w:kern w:val="0"/>
                <w:sz w:val="22"/>
              </w:rPr>
            </w:pPr>
            <w:r>
              <w:rPr>
                <w:rFonts w:hint="eastAsia" w:ascii="仿宋" w:hAnsi="仿宋" w:eastAsia="仿宋" w:cs="仿宋"/>
                <w:b w:val="0"/>
                <w:bCs w:val="0"/>
                <w:sz w:val="24"/>
                <w:szCs w:val="24"/>
                <w:lang w:val="en-US" w:eastAsia="zh-CN"/>
              </w:rPr>
              <w:t>突出身心健康，与本次活动主题完全符合，14-20分；与本次活动主题基本符合，8-13分；与本次活动主题不符合，0-7分。</w:t>
            </w:r>
          </w:p>
        </w:tc>
        <w:tc>
          <w:tcPr>
            <w:tcW w:w="1660" w:type="dxa"/>
            <w:tcBorders>
              <w:top w:val="nil"/>
              <w:left w:val="nil"/>
              <w:bottom w:val="single" w:color="auto" w:sz="4" w:space="0"/>
              <w:right w:val="single" w:color="auto" w:sz="4" w:space="0"/>
            </w:tcBorders>
            <w:shd w:val="clear" w:color="auto" w:fill="auto"/>
            <w:noWrap/>
            <w:vAlign w:val="center"/>
          </w:tcPr>
          <w:p w14:paraId="2C599142">
            <w:pPr>
              <w:widowControl/>
              <w:jc w:val="center"/>
              <w:rPr>
                <w:rFonts w:hint="default" w:ascii="宋体" w:hAnsi="宋体" w:eastAsia="宋体" w:cs="宋体"/>
                <w:color w:val="000000"/>
                <w:kern w:val="0"/>
                <w:sz w:val="22"/>
                <w:lang w:val="en-US" w:eastAsia="zh-CN"/>
              </w:rPr>
            </w:pPr>
            <w:r>
              <w:rPr>
                <w:rFonts w:hint="eastAsia" w:ascii="宋体" w:hAnsi="宋体" w:cs="宋体"/>
                <w:color w:val="000000"/>
                <w:kern w:val="0"/>
                <w:sz w:val="22"/>
                <w:lang w:val="en-US" w:eastAsia="zh-CN"/>
              </w:rPr>
              <w:t>20</w:t>
            </w:r>
          </w:p>
        </w:tc>
      </w:tr>
      <w:tr w14:paraId="3753943B">
        <w:tblPrEx>
          <w:tblCellMar>
            <w:top w:w="0" w:type="dxa"/>
            <w:left w:w="108" w:type="dxa"/>
            <w:bottom w:w="0" w:type="dxa"/>
            <w:right w:w="108" w:type="dxa"/>
          </w:tblCellMar>
        </w:tblPrEx>
        <w:trPr>
          <w:trHeight w:val="1230" w:hRule="atLeast"/>
          <w:jc w:val="center"/>
        </w:trPr>
        <w:tc>
          <w:tcPr>
            <w:tcW w:w="8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BD4314">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5780" w:type="dxa"/>
            <w:tcBorders>
              <w:top w:val="single" w:color="auto" w:sz="4" w:space="0"/>
              <w:left w:val="single" w:color="auto" w:sz="4" w:space="0"/>
              <w:bottom w:val="single" w:color="auto" w:sz="4" w:space="0"/>
              <w:right w:val="single" w:color="auto" w:sz="4" w:space="0"/>
            </w:tcBorders>
            <w:shd w:val="clear" w:color="auto" w:fill="auto"/>
            <w:vAlign w:val="center"/>
          </w:tcPr>
          <w:p w14:paraId="1D05EF17">
            <w:pPr>
              <w:widowControl/>
              <w:jc w:val="left"/>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评委依据投标人策划方案中各项活动内容的</w:t>
            </w:r>
            <w:r>
              <w:rPr>
                <w:rFonts w:hint="eastAsia" w:ascii="仿宋" w:hAnsi="仿宋" w:eastAsia="仿宋" w:cs="仿宋"/>
                <w:b w:val="0"/>
                <w:bCs w:val="0"/>
                <w:sz w:val="24"/>
                <w:szCs w:val="24"/>
              </w:rPr>
              <w:t>可行性</w:t>
            </w:r>
            <w:r>
              <w:rPr>
                <w:rFonts w:hint="eastAsia" w:ascii="仿宋" w:hAnsi="仿宋" w:eastAsia="仿宋" w:cs="仿宋"/>
                <w:b w:val="0"/>
                <w:bCs w:val="0"/>
                <w:sz w:val="24"/>
                <w:szCs w:val="24"/>
                <w:lang w:eastAsia="zh-CN"/>
              </w:rPr>
              <w:t>打分</w:t>
            </w: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20</w:t>
            </w:r>
            <w:r>
              <w:rPr>
                <w:rFonts w:hint="eastAsia" w:ascii="仿宋" w:hAnsi="仿宋" w:eastAsia="仿宋" w:cs="仿宋"/>
                <w:b w:val="0"/>
                <w:bCs w:val="0"/>
                <w:sz w:val="24"/>
                <w:szCs w:val="24"/>
              </w:rPr>
              <w:t>分）：</w:t>
            </w:r>
          </w:p>
          <w:p w14:paraId="63F2647A">
            <w:pPr>
              <w:widowControl/>
              <w:jc w:val="left"/>
              <w:rPr>
                <w:rFonts w:ascii="宋体" w:hAnsi="宋体" w:eastAsia="宋体" w:cs="宋体"/>
                <w:color w:val="000000"/>
                <w:kern w:val="0"/>
                <w:sz w:val="22"/>
              </w:rPr>
            </w:pPr>
            <w:r>
              <w:rPr>
                <w:rFonts w:hint="eastAsia" w:ascii="仿宋" w:hAnsi="仿宋" w:eastAsia="仿宋" w:cs="仿宋"/>
                <w:b w:val="0"/>
                <w:bCs w:val="0"/>
                <w:sz w:val="24"/>
                <w:szCs w:val="24"/>
              </w:rPr>
              <w:t xml:space="preserve">方案充分考虑场地、时间、人员、资源等实际条件，各项活动安排合理，易于操作执行，得 </w:t>
            </w:r>
            <w:r>
              <w:rPr>
                <w:rFonts w:hint="eastAsia" w:ascii="仿宋" w:hAnsi="仿宋" w:eastAsia="仿宋" w:cs="仿宋"/>
                <w:b w:val="0"/>
                <w:bCs w:val="0"/>
                <w:sz w:val="24"/>
                <w:szCs w:val="24"/>
                <w:lang w:val="en-US" w:eastAsia="zh-CN"/>
              </w:rPr>
              <w:t>14</w:t>
            </w: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20</w:t>
            </w:r>
            <w:r>
              <w:rPr>
                <w:rFonts w:hint="eastAsia" w:ascii="仿宋" w:hAnsi="仿宋" w:eastAsia="仿宋" w:cs="仿宋"/>
                <w:b w:val="0"/>
                <w:bCs w:val="0"/>
                <w:sz w:val="24"/>
                <w:szCs w:val="24"/>
              </w:rPr>
              <w:t xml:space="preserve"> 分；存在一些可调整优化的小问题，得 </w:t>
            </w:r>
            <w:r>
              <w:rPr>
                <w:rFonts w:hint="eastAsia" w:ascii="仿宋" w:hAnsi="仿宋" w:eastAsia="仿宋" w:cs="仿宋"/>
                <w:b w:val="0"/>
                <w:bCs w:val="0"/>
                <w:sz w:val="24"/>
                <w:szCs w:val="24"/>
                <w:lang w:val="en-US" w:eastAsia="zh-CN"/>
              </w:rPr>
              <w:t>8</w:t>
            </w: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13</w:t>
            </w:r>
            <w:r>
              <w:rPr>
                <w:rFonts w:hint="eastAsia" w:ascii="仿宋" w:hAnsi="仿宋" w:eastAsia="仿宋" w:cs="仿宋"/>
                <w:b w:val="0"/>
                <w:bCs w:val="0"/>
                <w:sz w:val="24"/>
                <w:szCs w:val="24"/>
              </w:rPr>
              <w:t xml:space="preserve">分；方案脱离实际，难以实施，得 </w:t>
            </w:r>
            <w:r>
              <w:rPr>
                <w:rFonts w:hint="eastAsia" w:ascii="仿宋" w:hAnsi="仿宋" w:eastAsia="仿宋" w:cs="仿宋"/>
                <w:b w:val="0"/>
                <w:bCs w:val="0"/>
                <w:sz w:val="24"/>
                <w:szCs w:val="24"/>
                <w:lang w:val="en-US" w:eastAsia="zh-CN"/>
              </w:rPr>
              <w:t>0</w:t>
            </w: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7</w:t>
            </w:r>
            <w:r>
              <w:rPr>
                <w:rFonts w:hint="eastAsia" w:ascii="仿宋" w:hAnsi="仿宋" w:eastAsia="仿宋" w:cs="仿宋"/>
                <w:b w:val="0"/>
                <w:bCs w:val="0"/>
                <w:sz w:val="24"/>
                <w:szCs w:val="24"/>
              </w:rPr>
              <w:t>分。</w:t>
            </w:r>
          </w:p>
        </w:tc>
        <w:tc>
          <w:tcPr>
            <w:tcW w:w="1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ADFF31">
            <w:pPr>
              <w:widowControl/>
              <w:jc w:val="center"/>
              <w:rPr>
                <w:rFonts w:hint="default" w:ascii="宋体" w:hAnsi="宋体" w:eastAsia="宋体" w:cs="宋体"/>
                <w:color w:val="000000"/>
                <w:kern w:val="0"/>
                <w:sz w:val="22"/>
                <w:lang w:val="en-US" w:eastAsia="zh-CN"/>
              </w:rPr>
            </w:pPr>
            <w:r>
              <w:rPr>
                <w:rFonts w:hint="eastAsia" w:ascii="宋体" w:hAnsi="宋体" w:cs="宋体"/>
                <w:color w:val="000000"/>
                <w:kern w:val="0"/>
                <w:sz w:val="22"/>
                <w:lang w:val="en-US" w:eastAsia="zh-CN"/>
              </w:rPr>
              <w:t>20</w:t>
            </w:r>
          </w:p>
        </w:tc>
      </w:tr>
      <w:tr w14:paraId="0BE873A3">
        <w:tblPrEx>
          <w:tblCellMar>
            <w:top w:w="0" w:type="dxa"/>
            <w:left w:w="108" w:type="dxa"/>
            <w:bottom w:w="0" w:type="dxa"/>
            <w:right w:w="108" w:type="dxa"/>
          </w:tblCellMar>
        </w:tblPrEx>
        <w:trPr>
          <w:trHeight w:val="1230" w:hRule="atLeast"/>
          <w:jc w:val="center"/>
        </w:trPr>
        <w:tc>
          <w:tcPr>
            <w:tcW w:w="8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CD1228">
            <w:pPr>
              <w:widowControl/>
              <w:jc w:val="center"/>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3</w:t>
            </w:r>
          </w:p>
        </w:tc>
        <w:tc>
          <w:tcPr>
            <w:tcW w:w="5780" w:type="dxa"/>
            <w:tcBorders>
              <w:top w:val="single" w:color="auto" w:sz="4" w:space="0"/>
              <w:left w:val="single" w:color="auto" w:sz="4" w:space="0"/>
              <w:bottom w:val="single" w:color="auto" w:sz="4" w:space="0"/>
              <w:right w:val="single" w:color="auto" w:sz="4" w:space="0"/>
            </w:tcBorders>
            <w:shd w:val="clear" w:color="auto" w:fill="auto"/>
            <w:vAlign w:val="center"/>
          </w:tcPr>
          <w:p w14:paraId="5E43AC63">
            <w:pPr>
              <w:keepNext w:val="0"/>
              <w:keepLines w:val="0"/>
              <w:widowControl/>
              <w:suppressLineNumbers w:val="0"/>
              <w:jc w:val="left"/>
              <w:rPr>
                <w:rFonts w:hint="eastAsia" w:ascii="仿宋" w:hAnsi="仿宋" w:eastAsia="仿宋" w:cs="仿宋"/>
                <w:b w:val="0"/>
                <w:bCs w:val="0"/>
                <w:sz w:val="24"/>
                <w:szCs w:val="24"/>
              </w:rPr>
            </w:pPr>
            <w:r>
              <w:rPr>
                <w:rFonts w:hint="eastAsia" w:ascii="仿宋" w:hAnsi="仿宋" w:eastAsia="仿宋" w:cs="仿宋"/>
                <w:b w:val="0"/>
                <w:bCs w:val="0"/>
                <w:sz w:val="24"/>
                <w:szCs w:val="24"/>
                <w:lang w:eastAsia="zh-CN"/>
              </w:rPr>
              <w:t>评委依据策划活动的</w:t>
            </w:r>
            <w:r>
              <w:rPr>
                <w:rFonts w:hint="eastAsia" w:ascii="仿宋" w:hAnsi="仿宋" w:eastAsia="仿宋" w:cs="仿宋"/>
                <w:b w:val="0"/>
                <w:bCs w:val="0"/>
                <w:sz w:val="24"/>
                <w:szCs w:val="24"/>
              </w:rPr>
              <w:t>创新性</w:t>
            </w:r>
            <w:r>
              <w:rPr>
                <w:rFonts w:hint="eastAsia" w:ascii="仿宋" w:hAnsi="仿宋" w:eastAsia="仿宋" w:cs="仿宋"/>
                <w:b w:val="0"/>
                <w:bCs w:val="0"/>
                <w:sz w:val="24"/>
                <w:szCs w:val="24"/>
                <w:lang w:eastAsia="zh-CN"/>
              </w:rPr>
              <w:t>打分</w:t>
            </w: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15</w:t>
            </w:r>
            <w:r>
              <w:rPr>
                <w:rFonts w:hint="eastAsia" w:ascii="仿宋" w:hAnsi="仿宋" w:eastAsia="仿宋" w:cs="仿宋"/>
                <w:b w:val="0"/>
                <w:bCs w:val="0"/>
                <w:sz w:val="24"/>
                <w:szCs w:val="24"/>
              </w:rPr>
              <w:t>分）：</w:t>
            </w:r>
          </w:p>
          <w:p w14:paraId="21943B03">
            <w:pPr>
              <w:keepNext w:val="0"/>
              <w:keepLines w:val="0"/>
              <w:widowControl/>
              <w:suppressLineNumbers w:val="0"/>
              <w:jc w:val="left"/>
              <w:rPr>
                <w:rFonts w:hint="eastAsia" w:ascii="宋体" w:hAnsi="宋体" w:eastAsia="宋体" w:cs="宋体"/>
                <w:color w:val="000000"/>
                <w:kern w:val="0"/>
                <w:sz w:val="22"/>
              </w:rPr>
            </w:pPr>
            <w:r>
              <w:rPr>
                <w:rFonts w:hint="eastAsia" w:ascii="仿宋" w:hAnsi="仿宋" w:eastAsia="仿宋" w:cs="仿宋"/>
                <w:b w:val="0"/>
                <w:bCs w:val="0"/>
                <w:sz w:val="24"/>
                <w:szCs w:val="24"/>
              </w:rPr>
              <w:t>在活动形式、</w:t>
            </w:r>
            <w:r>
              <w:rPr>
                <w:rFonts w:hint="eastAsia" w:ascii="仿宋" w:hAnsi="仿宋" w:eastAsia="仿宋" w:cs="仿宋"/>
                <w:b w:val="0"/>
                <w:bCs w:val="0"/>
                <w:sz w:val="24"/>
                <w:szCs w:val="24"/>
                <w:lang w:val="en-US" w:eastAsia="zh-CN"/>
              </w:rPr>
              <w:t>场地布置方案、</w:t>
            </w:r>
            <w:r>
              <w:rPr>
                <w:rFonts w:hint="eastAsia" w:ascii="仿宋" w:hAnsi="仿宋" w:eastAsia="仿宋" w:cs="仿宋"/>
                <w:b w:val="0"/>
                <w:bCs w:val="0"/>
                <w:sz w:val="24"/>
                <w:szCs w:val="24"/>
              </w:rPr>
              <w:t xml:space="preserve">任务设计、互动环节等方面有独特新颖的创意，能显著提升活动吸引力和趣味性，得 </w:t>
            </w:r>
            <w:r>
              <w:rPr>
                <w:rFonts w:hint="eastAsia" w:ascii="仿宋" w:hAnsi="仿宋" w:eastAsia="仿宋" w:cs="仿宋"/>
                <w:b w:val="0"/>
                <w:bCs w:val="0"/>
                <w:sz w:val="24"/>
                <w:szCs w:val="24"/>
                <w:lang w:val="en-US" w:eastAsia="zh-CN"/>
              </w:rPr>
              <w:t>11</w:t>
            </w: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15</w:t>
            </w:r>
            <w:r>
              <w:rPr>
                <w:rFonts w:hint="eastAsia" w:ascii="仿宋" w:hAnsi="仿宋" w:eastAsia="仿宋" w:cs="仿宋"/>
                <w:b w:val="0"/>
                <w:bCs w:val="0"/>
                <w:sz w:val="24"/>
                <w:szCs w:val="24"/>
              </w:rPr>
              <w:t xml:space="preserve">分；有一定创新点，但不够突出，得 </w:t>
            </w:r>
            <w:r>
              <w:rPr>
                <w:rFonts w:hint="eastAsia" w:ascii="仿宋" w:hAnsi="仿宋" w:eastAsia="仿宋" w:cs="仿宋"/>
                <w:b w:val="0"/>
                <w:bCs w:val="0"/>
                <w:sz w:val="24"/>
                <w:szCs w:val="24"/>
                <w:lang w:val="en-US" w:eastAsia="zh-CN"/>
              </w:rPr>
              <w:t>7</w:t>
            </w: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10</w:t>
            </w:r>
            <w:r>
              <w:rPr>
                <w:rFonts w:hint="eastAsia" w:ascii="仿宋" w:hAnsi="仿宋" w:eastAsia="仿宋" w:cs="仿宋"/>
                <w:b w:val="0"/>
                <w:bCs w:val="0"/>
                <w:sz w:val="24"/>
                <w:szCs w:val="24"/>
              </w:rPr>
              <w:t>分；缺乏创新，与常规活动相似，得</w:t>
            </w:r>
            <w:r>
              <w:rPr>
                <w:rFonts w:hint="eastAsia" w:ascii="仿宋" w:hAnsi="仿宋" w:eastAsia="仿宋" w:cs="仿宋"/>
                <w:b w:val="0"/>
                <w:bCs w:val="0"/>
                <w:sz w:val="24"/>
                <w:szCs w:val="24"/>
                <w:lang w:val="en-US" w:eastAsia="zh-CN"/>
              </w:rPr>
              <w:t>0</w:t>
            </w: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6</w:t>
            </w:r>
            <w:r>
              <w:rPr>
                <w:rFonts w:hint="eastAsia" w:ascii="仿宋" w:hAnsi="仿宋" w:eastAsia="仿宋" w:cs="仿宋"/>
                <w:b w:val="0"/>
                <w:bCs w:val="0"/>
                <w:sz w:val="24"/>
                <w:szCs w:val="24"/>
              </w:rPr>
              <w:t>分。</w:t>
            </w:r>
          </w:p>
        </w:tc>
        <w:tc>
          <w:tcPr>
            <w:tcW w:w="1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C4B1DF">
            <w:pPr>
              <w:widowControl/>
              <w:jc w:val="center"/>
              <w:rPr>
                <w:rFonts w:hint="default" w:ascii="宋体" w:hAnsi="宋体" w:eastAsia="宋体" w:cs="宋体"/>
                <w:color w:val="000000"/>
                <w:kern w:val="0"/>
                <w:sz w:val="22"/>
                <w:lang w:val="en-US" w:eastAsia="zh-CN"/>
              </w:rPr>
            </w:pPr>
            <w:r>
              <w:rPr>
                <w:rFonts w:hint="eastAsia" w:ascii="宋体" w:hAnsi="宋体" w:cs="宋体"/>
                <w:color w:val="000000"/>
                <w:kern w:val="0"/>
                <w:sz w:val="22"/>
                <w:lang w:val="en-US" w:eastAsia="zh-CN"/>
              </w:rPr>
              <w:t>15</w:t>
            </w:r>
          </w:p>
        </w:tc>
      </w:tr>
      <w:tr w14:paraId="61DA2B70">
        <w:tblPrEx>
          <w:tblCellMar>
            <w:top w:w="0" w:type="dxa"/>
            <w:left w:w="108" w:type="dxa"/>
            <w:bottom w:w="0" w:type="dxa"/>
            <w:right w:w="108" w:type="dxa"/>
          </w:tblCellMar>
        </w:tblPrEx>
        <w:trPr>
          <w:trHeight w:val="1230" w:hRule="atLeast"/>
          <w:jc w:val="center"/>
        </w:trPr>
        <w:tc>
          <w:tcPr>
            <w:tcW w:w="8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D34D0C">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4</w:t>
            </w:r>
          </w:p>
        </w:tc>
        <w:tc>
          <w:tcPr>
            <w:tcW w:w="5780" w:type="dxa"/>
            <w:tcBorders>
              <w:top w:val="single" w:color="auto" w:sz="4" w:space="0"/>
              <w:left w:val="single" w:color="auto" w:sz="4" w:space="0"/>
              <w:bottom w:val="single" w:color="auto" w:sz="4" w:space="0"/>
              <w:right w:val="single" w:color="auto" w:sz="4" w:space="0"/>
            </w:tcBorders>
            <w:shd w:val="clear" w:color="auto" w:fill="auto"/>
            <w:vAlign w:val="center"/>
          </w:tcPr>
          <w:p w14:paraId="5ADF3577">
            <w:pPr>
              <w:widowControl/>
              <w:jc w:val="left"/>
              <w:rPr>
                <w:rFonts w:hint="eastAsia" w:ascii="仿宋" w:hAnsi="仿宋" w:eastAsia="仿宋" w:cs="仿宋"/>
                <w:b w:val="0"/>
                <w:bCs w:val="0"/>
                <w:sz w:val="24"/>
                <w:szCs w:val="24"/>
              </w:rPr>
            </w:pPr>
            <w:r>
              <w:rPr>
                <w:rFonts w:hint="eastAsia" w:ascii="仿宋" w:hAnsi="仿宋" w:eastAsia="仿宋" w:cs="仿宋"/>
                <w:b w:val="0"/>
                <w:bCs w:val="0"/>
                <w:sz w:val="24"/>
                <w:szCs w:val="24"/>
                <w:lang w:eastAsia="zh-CN"/>
              </w:rPr>
              <w:t>评委依据投标人拟投入的物料、人员、方案策划等费用打分</w:t>
            </w: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15</w:t>
            </w:r>
            <w:r>
              <w:rPr>
                <w:rFonts w:hint="eastAsia" w:ascii="仿宋" w:hAnsi="仿宋" w:eastAsia="仿宋" w:cs="仿宋"/>
                <w:b w:val="0"/>
                <w:bCs w:val="0"/>
                <w:sz w:val="24"/>
                <w:szCs w:val="24"/>
              </w:rPr>
              <w:t>分）：</w:t>
            </w:r>
          </w:p>
          <w:p w14:paraId="446BDC56">
            <w:pPr>
              <w:widowControl/>
              <w:jc w:val="left"/>
              <w:rPr>
                <w:rFonts w:hint="eastAsia" w:ascii="宋体" w:hAnsi="宋体" w:eastAsia="宋体" w:cs="宋体"/>
                <w:color w:val="000000"/>
                <w:kern w:val="0"/>
                <w:sz w:val="22"/>
              </w:rPr>
            </w:pPr>
            <w:r>
              <w:rPr>
                <w:rFonts w:hint="eastAsia" w:ascii="仿宋" w:hAnsi="仿宋" w:eastAsia="仿宋" w:cs="仿宋"/>
                <w:b w:val="0"/>
                <w:bCs w:val="0"/>
                <w:sz w:val="24"/>
                <w:szCs w:val="24"/>
                <w:lang w:eastAsia="zh-CN"/>
              </w:rPr>
              <w:t>拟投入的物料、人员、方案策划构成合理、价格合理、种类多样</w:t>
            </w:r>
            <w:r>
              <w:rPr>
                <w:rFonts w:hint="eastAsia" w:ascii="仿宋" w:hAnsi="仿宋" w:eastAsia="仿宋" w:cs="仿宋"/>
                <w:b w:val="0"/>
                <w:bCs w:val="0"/>
                <w:sz w:val="24"/>
                <w:szCs w:val="24"/>
              </w:rPr>
              <w:t xml:space="preserve">，得 </w:t>
            </w:r>
            <w:r>
              <w:rPr>
                <w:rFonts w:hint="eastAsia" w:ascii="仿宋" w:hAnsi="仿宋" w:eastAsia="仿宋" w:cs="仿宋"/>
                <w:b w:val="0"/>
                <w:bCs w:val="0"/>
                <w:sz w:val="24"/>
                <w:szCs w:val="24"/>
                <w:lang w:val="en-US" w:eastAsia="zh-CN"/>
              </w:rPr>
              <w:t>11</w:t>
            </w: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15</w:t>
            </w:r>
            <w:r>
              <w:rPr>
                <w:rFonts w:hint="eastAsia" w:ascii="仿宋" w:hAnsi="仿宋" w:eastAsia="仿宋" w:cs="仿宋"/>
                <w:b w:val="0"/>
                <w:bCs w:val="0"/>
                <w:sz w:val="24"/>
                <w:szCs w:val="24"/>
              </w:rPr>
              <w:t>分；</w:t>
            </w:r>
            <w:r>
              <w:rPr>
                <w:rFonts w:hint="eastAsia" w:ascii="仿宋" w:hAnsi="仿宋" w:eastAsia="仿宋" w:cs="仿宋"/>
                <w:b w:val="0"/>
                <w:bCs w:val="0"/>
                <w:sz w:val="24"/>
                <w:szCs w:val="24"/>
                <w:lang w:eastAsia="zh-CN"/>
              </w:rPr>
              <w:t>拟投入的物料、人员、方案策划构成基本合理、价格基本合理</w:t>
            </w:r>
            <w:r>
              <w:rPr>
                <w:rFonts w:hint="eastAsia" w:ascii="仿宋" w:hAnsi="仿宋" w:eastAsia="仿宋" w:cs="仿宋"/>
                <w:b w:val="0"/>
                <w:bCs w:val="0"/>
                <w:sz w:val="24"/>
                <w:szCs w:val="24"/>
              </w:rPr>
              <w:t>，得</w:t>
            </w:r>
            <w:r>
              <w:rPr>
                <w:rFonts w:hint="eastAsia" w:ascii="仿宋" w:hAnsi="仿宋" w:eastAsia="仿宋" w:cs="仿宋"/>
                <w:b w:val="0"/>
                <w:bCs w:val="0"/>
                <w:sz w:val="24"/>
                <w:szCs w:val="24"/>
                <w:lang w:val="en-US" w:eastAsia="zh-CN"/>
              </w:rPr>
              <w:t>7</w:t>
            </w: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10</w:t>
            </w:r>
            <w:r>
              <w:rPr>
                <w:rFonts w:hint="eastAsia" w:ascii="仿宋" w:hAnsi="仿宋" w:eastAsia="仿宋" w:cs="仿宋"/>
                <w:b w:val="0"/>
                <w:bCs w:val="0"/>
                <w:sz w:val="24"/>
                <w:szCs w:val="24"/>
              </w:rPr>
              <w:t>分；</w:t>
            </w:r>
            <w:r>
              <w:rPr>
                <w:rFonts w:hint="eastAsia" w:ascii="仿宋" w:hAnsi="仿宋" w:eastAsia="仿宋" w:cs="仿宋"/>
                <w:b w:val="0"/>
                <w:bCs w:val="0"/>
                <w:sz w:val="24"/>
                <w:szCs w:val="24"/>
                <w:lang w:eastAsia="zh-CN"/>
              </w:rPr>
              <w:t>拟投入的物料、人员、方案策划构成不合理、价格不合理</w:t>
            </w:r>
            <w:r>
              <w:rPr>
                <w:rFonts w:hint="eastAsia" w:ascii="仿宋" w:hAnsi="仿宋" w:eastAsia="仿宋" w:cs="仿宋"/>
                <w:b w:val="0"/>
                <w:bCs w:val="0"/>
                <w:sz w:val="24"/>
                <w:szCs w:val="24"/>
              </w:rPr>
              <w:t>，得</w:t>
            </w:r>
            <w:r>
              <w:rPr>
                <w:rFonts w:hint="eastAsia" w:ascii="仿宋" w:hAnsi="仿宋" w:eastAsia="仿宋" w:cs="仿宋"/>
                <w:b w:val="0"/>
                <w:bCs w:val="0"/>
                <w:sz w:val="24"/>
                <w:szCs w:val="24"/>
                <w:lang w:val="en-US" w:eastAsia="zh-CN"/>
              </w:rPr>
              <w:t>0</w:t>
            </w: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6</w:t>
            </w:r>
            <w:r>
              <w:rPr>
                <w:rFonts w:hint="eastAsia" w:ascii="仿宋" w:hAnsi="仿宋" w:eastAsia="仿宋" w:cs="仿宋"/>
                <w:b w:val="0"/>
                <w:bCs w:val="0"/>
                <w:sz w:val="24"/>
                <w:szCs w:val="24"/>
              </w:rPr>
              <w:t>分。</w:t>
            </w:r>
          </w:p>
        </w:tc>
        <w:tc>
          <w:tcPr>
            <w:tcW w:w="1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FBC319">
            <w:pPr>
              <w:widowControl/>
              <w:jc w:val="center"/>
              <w:rPr>
                <w:rFonts w:hint="default" w:ascii="宋体" w:hAnsi="宋体" w:eastAsia="宋体" w:cs="宋体"/>
                <w:color w:val="000000"/>
                <w:kern w:val="0"/>
                <w:sz w:val="22"/>
                <w:lang w:val="en-US" w:eastAsia="zh-CN"/>
              </w:rPr>
            </w:pPr>
            <w:r>
              <w:rPr>
                <w:rFonts w:hint="eastAsia" w:ascii="宋体" w:hAnsi="宋体" w:cs="宋体"/>
                <w:color w:val="000000"/>
                <w:kern w:val="0"/>
                <w:sz w:val="22"/>
                <w:lang w:val="en-US" w:eastAsia="zh-CN"/>
              </w:rPr>
              <w:t>15</w:t>
            </w:r>
          </w:p>
        </w:tc>
      </w:tr>
      <w:tr w14:paraId="1B756ACF">
        <w:tblPrEx>
          <w:tblCellMar>
            <w:top w:w="0" w:type="dxa"/>
            <w:left w:w="108" w:type="dxa"/>
            <w:bottom w:w="0" w:type="dxa"/>
            <w:right w:w="108" w:type="dxa"/>
          </w:tblCellMar>
        </w:tblPrEx>
        <w:trPr>
          <w:trHeight w:val="1230" w:hRule="atLeast"/>
          <w:jc w:val="center"/>
        </w:trPr>
        <w:tc>
          <w:tcPr>
            <w:tcW w:w="8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3CF0F8">
            <w:pPr>
              <w:widowControl/>
              <w:jc w:val="center"/>
              <w:rPr>
                <w:rFonts w:hint="default" w:ascii="宋体" w:hAnsi="宋体" w:eastAsia="宋体" w:cs="宋体"/>
                <w:color w:val="000000"/>
                <w:kern w:val="0"/>
                <w:sz w:val="22"/>
                <w:lang w:val="en-US" w:eastAsia="zh-CN"/>
              </w:rPr>
            </w:pPr>
            <w:r>
              <w:rPr>
                <w:rFonts w:hint="eastAsia" w:ascii="宋体" w:hAnsi="宋体" w:cs="宋体"/>
                <w:color w:val="000000"/>
                <w:kern w:val="0"/>
                <w:sz w:val="22"/>
                <w:lang w:val="en-US" w:eastAsia="zh-CN"/>
              </w:rPr>
              <w:t>5</w:t>
            </w:r>
          </w:p>
        </w:tc>
        <w:tc>
          <w:tcPr>
            <w:tcW w:w="5780" w:type="dxa"/>
            <w:tcBorders>
              <w:top w:val="single" w:color="auto" w:sz="4" w:space="0"/>
              <w:left w:val="single" w:color="auto" w:sz="4" w:space="0"/>
              <w:bottom w:val="single" w:color="auto" w:sz="4" w:space="0"/>
              <w:right w:val="single" w:color="auto" w:sz="4" w:space="0"/>
            </w:tcBorders>
            <w:shd w:val="clear" w:color="auto" w:fill="auto"/>
            <w:vAlign w:val="center"/>
          </w:tcPr>
          <w:p w14:paraId="62626200">
            <w:pPr>
              <w:widowControl/>
              <w:jc w:val="left"/>
              <w:rPr>
                <w:rFonts w:hint="eastAsia" w:ascii="仿宋" w:hAnsi="仿宋" w:eastAsia="仿宋" w:cs="仿宋"/>
                <w:b w:val="0"/>
                <w:bCs w:val="0"/>
                <w:sz w:val="24"/>
                <w:szCs w:val="24"/>
              </w:rPr>
            </w:pPr>
            <w:r>
              <w:rPr>
                <w:rFonts w:hint="eastAsia" w:ascii="仿宋" w:hAnsi="仿宋" w:eastAsia="仿宋" w:cs="仿宋"/>
                <w:b w:val="0"/>
                <w:bCs w:val="0"/>
                <w:sz w:val="24"/>
                <w:szCs w:val="24"/>
              </w:rPr>
              <w:t>安全性（</w:t>
            </w:r>
            <w:r>
              <w:rPr>
                <w:rFonts w:hint="eastAsia" w:ascii="仿宋" w:hAnsi="仿宋" w:eastAsia="仿宋" w:cs="仿宋"/>
                <w:b w:val="0"/>
                <w:bCs w:val="0"/>
                <w:sz w:val="24"/>
                <w:szCs w:val="24"/>
                <w:lang w:val="en-US" w:eastAsia="zh-CN"/>
              </w:rPr>
              <w:t>12</w:t>
            </w:r>
            <w:r>
              <w:rPr>
                <w:rFonts w:hint="eastAsia" w:ascii="仿宋" w:hAnsi="仿宋" w:eastAsia="仿宋" w:cs="仿宋"/>
                <w:b w:val="0"/>
                <w:bCs w:val="0"/>
                <w:sz w:val="24"/>
                <w:szCs w:val="24"/>
              </w:rPr>
              <w:t>分）：</w:t>
            </w:r>
          </w:p>
          <w:p w14:paraId="67F55C48">
            <w:pPr>
              <w:widowControl/>
              <w:jc w:val="left"/>
              <w:rPr>
                <w:rFonts w:hint="eastAsia" w:ascii="宋体" w:hAnsi="宋体" w:eastAsia="宋体" w:cs="宋体"/>
                <w:color w:val="000000"/>
                <w:kern w:val="0"/>
                <w:sz w:val="22"/>
              </w:rPr>
            </w:pPr>
            <w:r>
              <w:rPr>
                <w:rFonts w:hint="eastAsia" w:ascii="仿宋" w:hAnsi="仿宋" w:eastAsia="仿宋" w:cs="仿宋"/>
                <w:b w:val="0"/>
                <w:bCs w:val="0"/>
                <w:sz w:val="24"/>
                <w:szCs w:val="24"/>
              </w:rPr>
              <w:t>制定了完善的安全保障措施，包括医疗急救、安全保卫、应急处理预案等，且措施具体有效，得</w:t>
            </w:r>
            <w:r>
              <w:rPr>
                <w:rFonts w:hint="eastAsia" w:ascii="仿宋" w:hAnsi="仿宋" w:eastAsia="仿宋" w:cs="仿宋"/>
                <w:b w:val="0"/>
                <w:bCs w:val="0"/>
                <w:sz w:val="24"/>
                <w:szCs w:val="24"/>
                <w:lang w:val="en-US" w:eastAsia="zh-CN"/>
              </w:rPr>
              <w:t>9</w:t>
            </w: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12</w:t>
            </w:r>
            <w:r>
              <w:rPr>
                <w:rFonts w:hint="eastAsia" w:ascii="仿宋" w:hAnsi="仿宋" w:eastAsia="仿宋" w:cs="仿宋"/>
                <w:b w:val="0"/>
                <w:bCs w:val="0"/>
                <w:sz w:val="24"/>
                <w:szCs w:val="24"/>
              </w:rPr>
              <w:t xml:space="preserve"> 分；有基本的安全措施，但不够全面，得 </w:t>
            </w:r>
            <w:r>
              <w:rPr>
                <w:rFonts w:hint="eastAsia" w:ascii="仿宋" w:hAnsi="仿宋" w:eastAsia="仿宋" w:cs="仿宋"/>
                <w:b w:val="0"/>
                <w:bCs w:val="0"/>
                <w:sz w:val="24"/>
                <w:szCs w:val="24"/>
                <w:lang w:val="en-US" w:eastAsia="zh-CN"/>
              </w:rPr>
              <w:t>5-8</w:t>
            </w:r>
            <w:r>
              <w:rPr>
                <w:rFonts w:hint="eastAsia" w:ascii="仿宋" w:hAnsi="仿宋" w:eastAsia="仿宋" w:cs="仿宋"/>
                <w:b w:val="0"/>
                <w:bCs w:val="0"/>
                <w:sz w:val="24"/>
                <w:szCs w:val="24"/>
              </w:rPr>
              <w:t>分；安全保障考虑不足，得</w:t>
            </w:r>
            <w:r>
              <w:rPr>
                <w:rFonts w:hint="eastAsia" w:ascii="仿宋" w:hAnsi="仿宋" w:eastAsia="仿宋" w:cs="仿宋"/>
                <w:b w:val="0"/>
                <w:bCs w:val="0"/>
                <w:sz w:val="24"/>
                <w:szCs w:val="24"/>
                <w:lang w:val="en-US" w:eastAsia="zh-CN"/>
              </w:rPr>
              <w:t>0-4</w:t>
            </w:r>
            <w:r>
              <w:rPr>
                <w:rFonts w:hint="eastAsia" w:ascii="仿宋" w:hAnsi="仿宋" w:eastAsia="仿宋" w:cs="仿宋"/>
                <w:b w:val="0"/>
                <w:bCs w:val="0"/>
                <w:sz w:val="24"/>
                <w:szCs w:val="24"/>
              </w:rPr>
              <w:t>分。</w:t>
            </w:r>
          </w:p>
        </w:tc>
        <w:tc>
          <w:tcPr>
            <w:tcW w:w="1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FC7A7A">
            <w:pPr>
              <w:widowControl/>
              <w:jc w:val="center"/>
              <w:rPr>
                <w:rFonts w:hint="default" w:ascii="宋体" w:hAnsi="宋体" w:eastAsia="宋体" w:cs="宋体"/>
                <w:color w:val="000000"/>
                <w:kern w:val="0"/>
                <w:sz w:val="22"/>
                <w:lang w:val="en-US" w:eastAsia="zh-CN"/>
              </w:rPr>
            </w:pPr>
            <w:r>
              <w:rPr>
                <w:rFonts w:hint="eastAsia" w:ascii="宋体" w:hAnsi="宋体" w:cs="宋体"/>
                <w:color w:val="000000"/>
                <w:kern w:val="0"/>
                <w:sz w:val="22"/>
                <w:lang w:val="en-US" w:eastAsia="zh-CN"/>
              </w:rPr>
              <w:t>12</w:t>
            </w:r>
          </w:p>
        </w:tc>
      </w:tr>
      <w:tr w14:paraId="176668AC">
        <w:tblPrEx>
          <w:tblCellMar>
            <w:top w:w="0" w:type="dxa"/>
            <w:left w:w="108" w:type="dxa"/>
            <w:bottom w:w="0" w:type="dxa"/>
            <w:right w:w="108" w:type="dxa"/>
          </w:tblCellMar>
        </w:tblPrEx>
        <w:trPr>
          <w:trHeight w:val="1230" w:hRule="atLeast"/>
          <w:jc w:val="center"/>
        </w:trPr>
        <w:tc>
          <w:tcPr>
            <w:tcW w:w="8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EA50C1">
            <w:pPr>
              <w:widowControl/>
              <w:jc w:val="center"/>
              <w:rPr>
                <w:rFonts w:hint="default" w:ascii="宋体" w:hAnsi="宋体" w:eastAsia="宋体" w:cs="宋体"/>
                <w:color w:val="000000"/>
                <w:kern w:val="0"/>
                <w:sz w:val="22"/>
                <w:lang w:val="en-US" w:eastAsia="zh-CN"/>
              </w:rPr>
            </w:pPr>
            <w:r>
              <w:rPr>
                <w:rFonts w:hint="eastAsia" w:ascii="宋体" w:hAnsi="宋体" w:cs="宋体"/>
                <w:color w:val="000000"/>
                <w:kern w:val="0"/>
                <w:sz w:val="22"/>
                <w:lang w:val="en-US" w:eastAsia="zh-CN"/>
              </w:rPr>
              <w:t>6</w:t>
            </w:r>
          </w:p>
        </w:tc>
        <w:tc>
          <w:tcPr>
            <w:tcW w:w="5780" w:type="dxa"/>
            <w:tcBorders>
              <w:top w:val="single" w:color="auto" w:sz="4" w:space="0"/>
              <w:left w:val="single" w:color="auto" w:sz="4" w:space="0"/>
              <w:bottom w:val="single" w:color="auto" w:sz="4" w:space="0"/>
              <w:right w:val="single" w:color="auto" w:sz="4" w:space="0"/>
            </w:tcBorders>
            <w:shd w:val="clear" w:color="auto" w:fill="auto"/>
            <w:vAlign w:val="center"/>
          </w:tcPr>
          <w:p w14:paraId="13DB1ED4">
            <w:pPr>
              <w:widowControl/>
              <w:jc w:val="left"/>
              <w:rPr>
                <w:rFonts w:hint="eastAsia" w:ascii="仿宋" w:hAnsi="仿宋" w:eastAsia="仿宋" w:cs="仿宋"/>
                <w:b w:val="0"/>
                <w:bCs w:val="0"/>
                <w:sz w:val="24"/>
                <w:szCs w:val="24"/>
              </w:rPr>
            </w:pPr>
            <w:r>
              <w:rPr>
                <w:rFonts w:hint="eastAsia" w:ascii="仿宋" w:hAnsi="仿宋" w:eastAsia="仿宋" w:cs="仿宋"/>
                <w:b w:val="0"/>
                <w:bCs w:val="0"/>
                <w:sz w:val="24"/>
                <w:szCs w:val="24"/>
              </w:rPr>
              <w:t>类似活动经验（</w:t>
            </w:r>
            <w:r>
              <w:rPr>
                <w:rFonts w:hint="eastAsia" w:ascii="仿宋" w:hAnsi="仿宋" w:eastAsia="仿宋" w:cs="仿宋"/>
                <w:b w:val="0"/>
                <w:bCs w:val="0"/>
                <w:sz w:val="24"/>
                <w:szCs w:val="24"/>
                <w:lang w:val="en-US" w:eastAsia="zh-CN"/>
              </w:rPr>
              <w:t>8</w:t>
            </w:r>
            <w:r>
              <w:rPr>
                <w:rFonts w:hint="eastAsia" w:ascii="仿宋" w:hAnsi="仿宋" w:eastAsia="仿宋" w:cs="仿宋"/>
                <w:b w:val="0"/>
                <w:bCs w:val="0"/>
                <w:sz w:val="24"/>
                <w:szCs w:val="24"/>
              </w:rPr>
              <w:t>分）：</w:t>
            </w:r>
          </w:p>
          <w:p w14:paraId="6556C042">
            <w:pPr>
              <w:widowControl/>
              <w:jc w:val="left"/>
              <w:rPr>
                <w:rFonts w:hint="default" w:ascii="宋体" w:hAnsi="宋体" w:eastAsia="仿宋" w:cs="宋体"/>
                <w:color w:val="000000"/>
                <w:kern w:val="0"/>
                <w:sz w:val="22"/>
                <w:lang w:val="en-US" w:eastAsia="zh-CN"/>
              </w:rPr>
            </w:pPr>
            <w:r>
              <w:rPr>
                <w:rFonts w:hint="eastAsia" w:ascii="仿宋" w:hAnsi="仿宋" w:eastAsia="仿宋" w:cs="仿宋"/>
                <w:b w:val="0"/>
                <w:bCs w:val="0"/>
                <w:sz w:val="24"/>
                <w:szCs w:val="24"/>
                <w:lang w:eastAsia="zh-CN"/>
              </w:rPr>
              <w:t>从</w:t>
            </w:r>
            <w:r>
              <w:rPr>
                <w:rFonts w:hint="eastAsia" w:ascii="仿宋" w:hAnsi="仿宋" w:eastAsia="仿宋" w:cs="仿宋"/>
                <w:b w:val="0"/>
                <w:bCs w:val="0"/>
                <w:sz w:val="24"/>
                <w:szCs w:val="24"/>
                <w:lang w:val="en-US" w:eastAsia="zh-CN"/>
              </w:rPr>
              <w:t>2022</w:t>
            </w:r>
            <w:r>
              <w:rPr>
                <w:rFonts w:hint="eastAsia" w:ascii="仿宋" w:hAnsi="仿宋" w:eastAsia="仿宋" w:cs="仿宋"/>
                <w:b w:val="0"/>
                <w:bCs w:val="0"/>
                <w:sz w:val="24"/>
                <w:szCs w:val="24"/>
              </w:rPr>
              <w:t>年</w:t>
            </w:r>
            <w:r>
              <w:rPr>
                <w:rFonts w:hint="eastAsia" w:ascii="仿宋" w:hAnsi="仿宋" w:eastAsia="仿宋" w:cs="仿宋"/>
                <w:b w:val="0"/>
                <w:bCs w:val="0"/>
                <w:sz w:val="24"/>
                <w:szCs w:val="24"/>
                <w:lang w:eastAsia="zh-CN"/>
              </w:rPr>
              <w:t>开始</w:t>
            </w:r>
            <w:r>
              <w:rPr>
                <w:rFonts w:hint="eastAsia" w:ascii="仿宋" w:hAnsi="仿宋" w:eastAsia="仿宋" w:cs="仿宋"/>
                <w:b w:val="0"/>
                <w:bCs w:val="0"/>
                <w:sz w:val="24"/>
                <w:szCs w:val="24"/>
              </w:rPr>
              <w:t>成功举办过足够数量的类似规模和类型活动，提供</w:t>
            </w:r>
            <w:r>
              <w:rPr>
                <w:rFonts w:hint="eastAsia" w:ascii="仿宋" w:hAnsi="仿宋" w:eastAsia="仿宋" w:cs="仿宋"/>
                <w:b w:val="0"/>
                <w:bCs w:val="0"/>
                <w:sz w:val="24"/>
                <w:szCs w:val="24"/>
                <w:lang w:eastAsia="zh-CN"/>
              </w:rPr>
              <w:t>合同或中标通知书，一个业绩得</w:t>
            </w:r>
            <w:r>
              <w:rPr>
                <w:rFonts w:hint="eastAsia" w:ascii="仿宋" w:hAnsi="仿宋" w:eastAsia="仿宋" w:cs="仿宋"/>
                <w:b w:val="0"/>
                <w:bCs w:val="0"/>
                <w:sz w:val="24"/>
                <w:szCs w:val="24"/>
                <w:lang w:val="en-US" w:eastAsia="zh-CN"/>
              </w:rPr>
              <w:t>2分，最多得8分。</w:t>
            </w:r>
          </w:p>
        </w:tc>
        <w:tc>
          <w:tcPr>
            <w:tcW w:w="1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313D89">
            <w:pPr>
              <w:widowControl/>
              <w:jc w:val="center"/>
              <w:rPr>
                <w:rFonts w:hint="default" w:ascii="宋体" w:hAnsi="宋体" w:eastAsia="宋体" w:cs="宋体"/>
                <w:color w:val="000000"/>
                <w:kern w:val="0"/>
                <w:sz w:val="22"/>
                <w:lang w:val="en-US" w:eastAsia="zh-CN"/>
              </w:rPr>
            </w:pPr>
            <w:r>
              <w:rPr>
                <w:rFonts w:hint="eastAsia" w:ascii="宋体" w:hAnsi="宋体" w:cs="宋体"/>
                <w:color w:val="000000"/>
                <w:kern w:val="0"/>
                <w:sz w:val="22"/>
                <w:lang w:val="en-US" w:eastAsia="zh-CN"/>
              </w:rPr>
              <w:t>8</w:t>
            </w:r>
          </w:p>
        </w:tc>
      </w:tr>
    </w:tbl>
    <w:p w14:paraId="1D5CCF96">
      <w:pPr>
        <w:spacing w:line="360" w:lineRule="auto"/>
        <w:rPr>
          <w:rFonts w:hint="eastAsia" w:asciiTheme="majorEastAsia" w:hAnsiTheme="majorEastAsia" w:eastAsiaTheme="majorEastAsia" w:cstheme="majorEastAsia"/>
          <w:color w:val="auto"/>
          <w:sz w:val="24"/>
          <w:szCs w:val="24"/>
          <w:highlight w:val="none"/>
        </w:rPr>
      </w:pPr>
    </w:p>
    <w:p w14:paraId="10A18184">
      <w:pPr>
        <w:spacing w:line="360" w:lineRule="auto"/>
        <w:ind w:firstLine="588" w:firstLineChars="245"/>
        <w:rPr>
          <w:rFonts w:hint="eastAsia"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（二）商务（报价）分的评定（</w:t>
      </w:r>
      <w:r>
        <w:rPr>
          <w:rFonts w:hint="eastAsia" w:asciiTheme="majorEastAsia" w:hAnsiTheme="majorEastAsia" w:eastAsiaTheme="majorEastAsia" w:cstheme="majorEastAsia"/>
          <w:color w:val="auto"/>
          <w:sz w:val="24"/>
          <w:szCs w:val="24"/>
          <w:highlight w:val="none"/>
          <w:lang w:val="en-US" w:eastAsia="zh-CN"/>
        </w:rPr>
        <w:t>1</w:t>
      </w:r>
      <w:r>
        <w:rPr>
          <w:rFonts w:hint="eastAsia" w:asciiTheme="majorEastAsia" w:hAnsiTheme="majorEastAsia" w:eastAsiaTheme="majorEastAsia" w:cstheme="majorEastAsia"/>
          <w:color w:val="auto"/>
          <w:sz w:val="24"/>
          <w:szCs w:val="24"/>
          <w:highlight w:val="none"/>
        </w:rPr>
        <w:t>0分）（权值</w:t>
      </w:r>
      <w:r>
        <w:rPr>
          <w:rFonts w:hint="eastAsia" w:asciiTheme="majorEastAsia" w:hAnsiTheme="majorEastAsia" w:eastAsiaTheme="majorEastAsia" w:cstheme="majorEastAsia"/>
          <w:color w:val="auto"/>
          <w:sz w:val="24"/>
          <w:szCs w:val="24"/>
          <w:highlight w:val="none"/>
          <w:lang w:val="en-US" w:eastAsia="zh-CN"/>
        </w:rPr>
        <w:t>1</w:t>
      </w:r>
      <w:r>
        <w:rPr>
          <w:rFonts w:hint="eastAsia" w:asciiTheme="majorEastAsia" w:hAnsiTheme="majorEastAsia" w:eastAsiaTheme="majorEastAsia" w:cstheme="majorEastAsia"/>
          <w:color w:val="auto"/>
          <w:sz w:val="24"/>
          <w:szCs w:val="24"/>
          <w:highlight w:val="none"/>
        </w:rPr>
        <w:t>0%）</w:t>
      </w:r>
    </w:p>
    <w:p w14:paraId="7A5EA916">
      <w:pPr>
        <w:spacing w:line="360" w:lineRule="auto"/>
        <w:ind w:firstLine="590"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bCs/>
          <w:color w:val="auto"/>
          <w:sz w:val="24"/>
          <w:szCs w:val="24"/>
          <w:highlight w:val="none"/>
        </w:rPr>
        <w:tab/>
      </w:r>
      <w:r>
        <w:rPr>
          <w:rFonts w:hint="eastAsia" w:asciiTheme="majorEastAsia" w:hAnsiTheme="majorEastAsia" w:eastAsiaTheme="majorEastAsia" w:cstheme="majorEastAsia"/>
          <w:b/>
          <w:bCs/>
          <w:color w:val="auto"/>
          <w:sz w:val="24"/>
          <w:szCs w:val="24"/>
          <w:highlight w:val="none"/>
        </w:rPr>
        <w:t>满足招标文件要求且投标报价面值最低的投标报价为评标基准价，如报价低于</w:t>
      </w:r>
      <w:r>
        <w:rPr>
          <w:rFonts w:hint="eastAsia" w:asciiTheme="majorEastAsia" w:hAnsiTheme="majorEastAsia" w:eastAsiaTheme="majorEastAsia" w:cstheme="majorEastAsia"/>
          <w:b/>
          <w:bCs/>
          <w:color w:val="auto"/>
          <w:sz w:val="24"/>
          <w:szCs w:val="24"/>
          <w:highlight w:val="none"/>
          <w:lang w:eastAsia="zh-CN"/>
        </w:rPr>
        <w:t>所有投标人</w:t>
      </w:r>
      <w:r>
        <w:rPr>
          <w:rFonts w:hint="eastAsia" w:asciiTheme="majorEastAsia" w:hAnsiTheme="majorEastAsia" w:eastAsiaTheme="majorEastAsia" w:cstheme="majorEastAsia"/>
          <w:b/>
          <w:bCs/>
          <w:color w:val="auto"/>
          <w:sz w:val="24"/>
          <w:szCs w:val="24"/>
          <w:highlight w:val="none"/>
        </w:rPr>
        <w:t>平均</w:t>
      </w:r>
      <w:r>
        <w:rPr>
          <w:rFonts w:hint="eastAsia" w:asciiTheme="majorEastAsia" w:hAnsiTheme="majorEastAsia" w:eastAsiaTheme="majorEastAsia" w:cstheme="majorEastAsia"/>
          <w:b/>
          <w:bCs/>
          <w:color w:val="auto"/>
          <w:sz w:val="24"/>
          <w:szCs w:val="24"/>
          <w:highlight w:val="none"/>
          <w:lang w:eastAsia="zh-CN"/>
        </w:rPr>
        <w:t>报</w:t>
      </w:r>
      <w:r>
        <w:rPr>
          <w:rFonts w:hint="eastAsia" w:asciiTheme="majorEastAsia" w:hAnsiTheme="majorEastAsia" w:eastAsiaTheme="majorEastAsia" w:cstheme="majorEastAsia"/>
          <w:b/>
          <w:bCs/>
          <w:color w:val="auto"/>
          <w:sz w:val="24"/>
          <w:szCs w:val="24"/>
          <w:highlight w:val="none"/>
        </w:rPr>
        <w:t>价</w:t>
      </w:r>
      <w:r>
        <w:rPr>
          <w:rFonts w:hint="eastAsia" w:asciiTheme="majorEastAsia" w:hAnsiTheme="majorEastAsia" w:eastAsiaTheme="majorEastAsia" w:cstheme="majorEastAsia"/>
          <w:b/>
          <w:bCs/>
          <w:color w:val="auto"/>
          <w:sz w:val="24"/>
          <w:szCs w:val="24"/>
          <w:highlight w:val="none"/>
          <w:lang w:eastAsia="zh-CN"/>
        </w:rPr>
        <w:t>的</w:t>
      </w:r>
      <w:r>
        <w:rPr>
          <w:rFonts w:hint="eastAsia" w:asciiTheme="majorEastAsia" w:hAnsiTheme="majorEastAsia" w:eastAsiaTheme="majorEastAsia" w:cstheme="majorEastAsia"/>
          <w:b/>
          <w:bCs/>
          <w:color w:val="auto"/>
          <w:sz w:val="24"/>
          <w:szCs w:val="24"/>
          <w:highlight w:val="none"/>
          <w:lang w:val="en-US" w:eastAsia="zh-CN"/>
        </w:rPr>
        <w:t>50%</w:t>
      </w:r>
      <w:r>
        <w:rPr>
          <w:rFonts w:hint="eastAsia" w:asciiTheme="majorEastAsia" w:hAnsiTheme="majorEastAsia" w:eastAsiaTheme="majorEastAsia" w:cstheme="majorEastAsia"/>
          <w:b/>
          <w:bCs/>
          <w:color w:val="auto"/>
          <w:sz w:val="24"/>
          <w:szCs w:val="24"/>
          <w:highlight w:val="none"/>
        </w:rPr>
        <w:t>时，需提供成本说明，否则视为无效投标</w:t>
      </w:r>
      <w:r>
        <w:rPr>
          <w:rFonts w:hint="eastAsia" w:asciiTheme="majorEastAsia" w:hAnsiTheme="majorEastAsia" w:eastAsiaTheme="majorEastAsia" w:cstheme="majorEastAsia"/>
          <w:b/>
          <w:bCs/>
          <w:color w:val="auto"/>
          <w:sz w:val="24"/>
          <w:szCs w:val="24"/>
          <w:highlight w:val="none"/>
          <w:lang w:eastAsia="zh-CN"/>
        </w:rPr>
        <w:t>。</w:t>
      </w:r>
      <w:r>
        <w:rPr>
          <w:rFonts w:hint="eastAsia" w:asciiTheme="majorEastAsia" w:hAnsiTheme="majorEastAsia" w:eastAsiaTheme="majorEastAsia" w:cstheme="majorEastAsia"/>
          <w:color w:val="auto"/>
          <w:sz w:val="24"/>
          <w:szCs w:val="24"/>
          <w:highlight w:val="none"/>
        </w:rPr>
        <w:t>其余投标人投标报价与该基准价对比，计算出商务报价评分值（保留小数2位）：</w:t>
      </w:r>
    </w:p>
    <w:p w14:paraId="32185311">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（1）有效投标人的投标报价等于评标基准价时其报价分为满分</w:t>
      </w:r>
      <w:r>
        <w:rPr>
          <w:rFonts w:hint="eastAsia" w:asciiTheme="majorEastAsia" w:hAnsiTheme="majorEastAsia" w:eastAsiaTheme="majorEastAsia" w:cstheme="majorEastAsia"/>
          <w:color w:val="auto"/>
          <w:sz w:val="24"/>
          <w:szCs w:val="24"/>
          <w:highlight w:val="none"/>
          <w:lang w:val="en-US" w:eastAsia="zh-CN"/>
        </w:rPr>
        <w:t>1</w:t>
      </w:r>
      <w:r>
        <w:rPr>
          <w:rFonts w:hint="eastAsia" w:asciiTheme="majorEastAsia" w:hAnsiTheme="majorEastAsia" w:eastAsiaTheme="majorEastAsia" w:cstheme="majorEastAsia"/>
          <w:color w:val="auto"/>
          <w:sz w:val="24"/>
          <w:szCs w:val="24"/>
          <w:highlight w:val="none"/>
        </w:rPr>
        <w:t>0分；</w:t>
      </w:r>
    </w:p>
    <w:p w14:paraId="35082EAD">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（2）其他投标人的价格分按以下公式计算：</w:t>
      </w:r>
    </w:p>
    <w:p w14:paraId="588BE35C">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投标报价得分=（评分基准价/投标人投标报价）× 价格权值 ×100（保留小数2位）</w:t>
      </w:r>
    </w:p>
    <w:p w14:paraId="04B46ED8">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311D76DE">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（4）投标人所报总价不得超过预算金额，否则当无效标处理。</w:t>
      </w:r>
    </w:p>
    <w:p w14:paraId="7E87AD17">
      <w:pPr>
        <w:spacing w:line="360" w:lineRule="auto"/>
        <w:ind w:firstLine="588" w:firstLineChars="245"/>
        <w:rPr>
          <w:rFonts w:hint="eastAsia" w:asciiTheme="majorEastAsia" w:hAnsiTheme="majorEastAsia" w:eastAsiaTheme="majorEastAsia" w:cstheme="majorEastAsia"/>
          <w:color w:val="auto"/>
          <w:sz w:val="24"/>
          <w:szCs w:val="24"/>
          <w:highlight w:val="none"/>
        </w:rPr>
      </w:pPr>
    </w:p>
    <w:p w14:paraId="4B487F35">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（三）综合得分（100分）（权值100%）</w:t>
      </w:r>
    </w:p>
    <w:p w14:paraId="1FD654B4">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73126684">
      <w:pPr>
        <w:spacing w:line="360" w:lineRule="auto"/>
        <w:rPr>
          <w:rFonts w:hint="default"/>
          <w:highlight w:val="none"/>
          <w:lang w:val="en-US" w:eastAsia="zh-CN"/>
        </w:rPr>
      </w:pPr>
    </w:p>
    <w:p w14:paraId="6E6BF2FA">
      <w:pPr>
        <w:rPr>
          <w:rFonts w:hint="default"/>
          <w:highlight w:val="none"/>
          <w:lang w:val="en-US" w:eastAsia="zh-CN"/>
        </w:rPr>
      </w:pPr>
      <w:r>
        <w:rPr>
          <w:rFonts w:hint="eastAsia" w:ascii="新宋体" w:hAnsi="新宋体" w:eastAsia="新宋体" w:cs="宋体"/>
          <w:b/>
          <w:bCs/>
          <w:kern w:val="0"/>
          <w:sz w:val="32"/>
          <w:szCs w:val="32"/>
          <w:highlight w:val="none"/>
          <w:lang w:val="en-US" w:eastAsia="zh-CN" w:bidi="ar-SA"/>
        </w:rPr>
        <w:br w:type="page"/>
      </w:r>
    </w:p>
    <w:p w14:paraId="22D45BAC">
      <w:pPr>
        <w:rPr>
          <w:rFonts w:hint="eastAsia" w:ascii="新宋体" w:hAnsi="新宋体" w:eastAsia="新宋体" w:cs="宋体"/>
          <w:b/>
          <w:bCs/>
          <w:kern w:val="0"/>
          <w:sz w:val="32"/>
          <w:szCs w:val="32"/>
          <w:highlight w:val="none"/>
          <w:lang w:val="en-US" w:eastAsia="zh-CN" w:bidi="ar-SA"/>
        </w:rPr>
      </w:pPr>
    </w:p>
    <w:p w14:paraId="6185DE63">
      <w:pPr>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63A267B8">
      <w:pPr>
        <w:widowControl/>
        <w:spacing w:line="360" w:lineRule="auto"/>
        <w:jc w:val="left"/>
        <w:rPr>
          <w:sz w:val="24"/>
          <w:szCs w:val="24"/>
          <w:highlight w:val="none"/>
        </w:rPr>
      </w:pPr>
      <w:r>
        <w:rPr>
          <w:sz w:val="24"/>
          <w:szCs w:val="24"/>
          <w:highlight w:val="none"/>
        </w:rPr>
        <w:br w:type="page"/>
      </w: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3"/>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rPr>
          <w:sz w:val="24"/>
          <w:szCs w:val="24"/>
          <w:highlight w:val="none"/>
        </w:rPr>
      </w:pPr>
    </w:p>
    <w:p w14:paraId="70A6AAE3">
      <w:pPr>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p w14:paraId="7AC6A3EC">
      <w:pPr>
        <w:autoSpaceDE w:val="0"/>
        <w:autoSpaceDN w:val="0"/>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14:paraId="50589785">
            <w:pPr>
              <w:pStyle w:val="25"/>
              <w:spacing w:after="0"/>
              <w:jc w:val="center"/>
              <w:rPr>
                <w:rFonts w:hint="eastAsia" w:ascii="新宋体" w:hAnsi="新宋体" w:eastAsia="新宋体"/>
                <w:highlight w:val="none"/>
              </w:rPr>
            </w:pPr>
          </w:p>
        </w:tc>
      </w:tr>
    </w:tbl>
    <w:p w14:paraId="252E88CC">
      <w:pPr>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spacing w:line="380" w:lineRule="exact"/>
        <w:outlineLvl w:val="1"/>
        <w:rPr>
          <w:rFonts w:hint="eastAsia" w:ascii="新宋体" w:hAnsi="新宋体" w:eastAsia="新宋体"/>
          <w:b/>
          <w:bCs/>
          <w:sz w:val="22"/>
          <w:szCs w:val="22"/>
          <w:highlight w:val="none"/>
        </w:r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8"/>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rPr>
                <w:rFonts w:ascii="宋体" w:hAnsi="宋体" w:cs="hakuyoxingshu7000"/>
                <w:bCs/>
                <w:sz w:val="24"/>
                <w:szCs w:val="24"/>
                <w:highlight w:val="none"/>
              </w:rPr>
            </w:pPr>
          </w:p>
        </w:tc>
        <w:tc>
          <w:tcPr>
            <w:tcW w:w="2304" w:type="dxa"/>
            <w:vAlign w:val="center"/>
          </w:tcPr>
          <w:p w14:paraId="584EF199">
            <w:pPr>
              <w:spacing w:line="360" w:lineRule="auto"/>
              <w:rPr>
                <w:rFonts w:ascii="宋体" w:hAnsi="宋体" w:cs="hakuyoxingshu7000"/>
                <w:bCs/>
                <w:sz w:val="24"/>
                <w:szCs w:val="24"/>
                <w:highlight w:val="none"/>
              </w:rPr>
            </w:pPr>
          </w:p>
        </w:tc>
        <w:tc>
          <w:tcPr>
            <w:tcW w:w="1525" w:type="dxa"/>
            <w:vAlign w:val="center"/>
          </w:tcPr>
          <w:p w14:paraId="487C9B37">
            <w:pPr>
              <w:spacing w:line="360" w:lineRule="auto"/>
              <w:rPr>
                <w:rFonts w:ascii="宋体" w:hAnsi="宋体" w:cs="hakuyoxingshu7000"/>
                <w:bCs/>
                <w:sz w:val="24"/>
                <w:szCs w:val="24"/>
                <w:highlight w:val="none"/>
              </w:rPr>
            </w:pP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rPr>
                <w:rFonts w:ascii="宋体" w:hAnsi="宋体" w:cs="hakuyoxingshu7000"/>
                <w:bCs/>
                <w:sz w:val="24"/>
                <w:szCs w:val="24"/>
                <w:highlight w:val="none"/>
              </w:rPr>
            </w:pPr>
          </w:p>
        </w:tc>
        <w:tc>
          <w:tcPr>
            <w:tcW w:w="2304" w:type="dxa"/>
            <w:vAlign w:val="center"/>
          </w:tcPr>
          <w:p w14:paraId="2953C44F">
            <w:pPr>
              <w:spacing w:line="360" w:lineRule="auto"/>
              <w:rPr>
                <w:rFonts w:ascii="宋体" w:hAnsi="宋体" w:cs="hakuyoxingshu7000"/>
                <w:bCs/>
                <w:sz w:val="24"/>
                <w:szCs w:val="24"/>
                <w:highlight w:val="none"/>
              </w:rPr>
            </w:pPr>
          </w:p>
        </w:tc>
        <w:tc>
          <w:tcPr>
            <w:tcW w:w="1525" w:type="dxa"/>
            <w:vAlign w:val="center"/>
          </w:tcPr>
          <w:p w14:paraId="4C44FE28">
            <w:pPr>
              <w:spacing w:line="360" w:lineRule="auto"/>
              <w:rPr>
                <w:rFonts w:ascii="宋体" w:hAnsi="宋体" w:cs="hakuyoxingshu7000"/>
                <w:bCs/>
                <w:sz w:val="24"/>
                <w:szCs w:val="24"/>
                <w:highlight w:val="none"/>
              </w:rPr>
            </w:pP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szCs w:val="24"/>
          <w:highlight w:val="none"/>
        </w:rPr>
      </w:pP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hakuyoxingshu7000">
    <w:altName w:val="宋体"/>
    <w:panose1 w:val="02000600000000000000"/>
    <w:charset w:val="86"/>
    <w:family w:val="auto"/>
    <w:pitch w:val="default"/>
    <w:sig w:usb0="00000000" w:usb1="00000000"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1"/>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00EF3E"/>
    <w:multiLevelType w:val="singleLevel"/>
    <w:tmpl w:val="FC00EF3E"/>
    <w:lvl w:ilvl="0" w:tentative="0">
      <w:start w:val="1"/>
      <w:numFmt w:val="chineseCounting"/>
      <w:suff w:val="nothing"/>
      <w:lvlText w:val="%1、"/>
      <w:lvlJc w:val="left"/>
      <w:rPr>
        <w:rFonts w:hint="eastAsia"/>
      </w:rPr>
    </w:lvl>
  </w:abstractNum>
  <w:abstractNum w:abstractNumId="1">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D497C9E"/>
    <w:multiLevelType w:val="multilevel"/>
    <w:tmpl w:val="5D497C9E"/>
    <w:lvl w:ilvl="0" w:tentative="0">
      <w:start w:val="1"/>
      <w:numFmt w:val="chineseCountingThousand"/>
      <w:pStyle w:val="2"/>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0E13486"/>
    <w:rsid w:val="01527EDF"/>
    <w:rsid w:val="01735F55"/>
    <w:rsid w:val="01920F12"/>
    <w:rsid w:val="02444CFE"/>
    <w:rsid w:val="02693733"/>
    <w:rsid w:val="02702D13"/>
    <w:rsid w:val="02775C29"/>
    <w:rsid w:val="02AE55E9"/>
    <w:rsid w:val="03A32C74"/>
    <w:rsid w:val="03B81543"/>
    <w:rsid w:val="03BE5308"/>
    <w:rsid w:val="03F4702C"/>
    <w:rsid w:val="04137DFA"/>
    <w:rsid w:val="041E1407"/>
    <w:rsid w:val="043A5387"/>
    <w:rsid w:val="04581CB1"/>
    <w:rsid w:val="046805A7"/>
    <w:rsid w:val="046C7126"/>
    <w:rsid w:val="048177A5"/>
    <w:rsid w:val="05104339"/>
    <w:rsid w:val="05252DE6"/>
    <w:rsid w:val="054935FC"/>
    <w:rsid w:val="057D45C7"/>
    <w:rsid w:val="05B2719F"/>
    <w:rsid w:val="05D37841"/>
    <w:rsid w:val="063437DC"/>
    <w:rsid w:val="063F15D1"/>
    <w:rsid w:val="0663284C"/>
    <w:rsid w:val="06770E4D"/>
    <w:rsid w:val="07B40FAC"/>
    <w:rsid w:val="07F608F1"/>
    <w:rsid w:val="084367D4"/>
    <w:rsid w:val="08A43261"/>
    <w:rsid w:val="08BA02FE"/>
    <w:rsid w:val="09181A0E"/>
    <w:rsid w:val="09414AC1"/>
    <w:rsid w:val="09682EB8"/>
    <w:rsid w:val="09701596"/>
    <w:rsid w:val="09B01196"/>
    <w:rsid w:val="09EF276F"/>
    <w:rsid w:val="0ABB16FD"/>
    <w:rsid w:val="0B280B93"/>
    <w:rsid w:val="0B9E1294"/>
    <w:rsid w:val="0C0F6D61"/>
    <w:rsid w:val="0C3E373D"/>
    <w:rsid w:val="0C48260B"/>
    <w:rsid w:val="0C811679"/>
    <w:rsid w:val="0C88659A"/>
    <w:rsid w:val="0C9814B5"/>
    <w:rsid w:val="0CB67574"/>
    <w:rsid w:val="0CD74F4E"/>
    <w:rsid w:val="0D625D59"/>
    <w:rsid w:val="0DCF4D92"/>
    <w:rsid w:val="0DD57DA6"/>
    <w:rsid w:val="0E1D50C2"/>
    <w:rsid w:val="0E2B3F92"/>
    <w:rsid w:val="0E647415"/>
    <w:rsid w:val="0FC6104D"/>
    <w:rsid w:val="0FD86205"/>
    <w:rsid w:val="102D3FF1"/>
    <w:rsid w:val="107C5C0E"/>
    <w:rsid w:val="10F36FE9"/>
    <w:rsid w:val="110E0BAC"/>
    <w:rsid w:val="114C494B"/>
    <w:rsid w:val="11CB32F9"/>
    <w:rsid w:val="12633CFA"/>
    <w:rsid w:val="127B54E8"/>
    <w:rsid w:val="12B22195"/>
    <w:rsid w:val="131E40C5"/>
    <w:rsid w:val="13823917"/>
    <w:rsid w:val="13CA1F19"/>
    <w:rsid w:val="13DD44F2"/>
    <w:rsid w:val="144E2A5F"/>
    <w:rsid w:val="14CA0061"/>
    <w:rsid w:val="14D507B4"/>
    <w:rsid w:val="14E32ED1"/>
    <w:rsid w:val="15E52C78"/>
    <w:rsid w:val="16325C9C"/>
    <w:rsid w:val="166B13D0"/>
    <w:rsid w:val="16B234A2"/>
    <w:rsid w:val="16BF796D"/>
    <w:rsid w:val="173845ED"/>
    <w:rsid w:val="173D0E7F"/>
    <w:rsid w:val="17FD24FB"/>
    <w:rsid w:val="182201B4"/>
    <w:rsid w:val="184E706F"/>
    <w:rsid w:val="187B02C7"/>
    <w:rsid w:val="18F00A8A"/>
    <w:rsid w:val="196C08F1"/>
    <w:rsid w:val="1A2521DD"/>
    <w:rsid w:val="1A846F04"/>
    <w:rsid w:val="1A935399"/>
    <w:rsid w:val="1AAF0E80"/>
    <w:rsid w:val="1AC51655"/>
    <w:rsid w:val="1ADA6B24"/>
    <w:rsid w:val="1B4D379A"/>
    <w:rsid w:val="1B676A58"/>
    <w:rsid w:val="1B6D2EC4"/>
    <w:rsid w:val="1B943177"/>
    <w:rsid w:val="1B9969DF"/>
    <w:rsid w:val="1BCD3B84"/>
    <w:rsid w:val="1BD532AE"/>
    <w:rsid w:val="1C275729"/>
    <w:rsid w:val="1C80194D"/>
    <w:rsid w:val="1C8431EB"/>
    <w:rsid w:val="1CCE26B8"/>
    <w:rsid w:val="1CDE389D"/>
    <w:rsid w:val="1D525097"/>
    <w:rsid w:val="1DD27E51"/>
    <w:rsid w:val="1DDC2BB3"/>
    <w:rsid w:val="1DF63C75"/>
    <w:rsid w:val="1E01086B"/>
    <w:rsid w:val="1E05197A"/>
    <w:rsid w:val="1E6432D4"/>
    <w:rsid w:val="1E82375A"/>
    <w:rsid w:val="1E960FB4"/>
    <w:rsid w:val="1EEA7AC6"/>
    <w:rsid w:val="1F090697"/>
    <w:rsid w:val="1F7B5265"/>
    <w:rsid w:val="1FD92A7D"/>
    <w:rsid w:val="20140D2A"/>
    <w:rsid w:val="203B6D03"/>
    <w:rsid w:val="206A26F8"/>
    <w:rsid w:val="20825C93"/>
    <w:rsid w:val="20AC4ABE"/>
    <w:rsid w:val="20B300B6"/>
    <w:rsid w:val="20BE4494"/>
    <w:rsid w:val="210B5C89"/>
    <w:rsid w:val="213056EF"/>
    <w:rsid w:val="214B19AF"/>
    <w:rsid w:val="219C2D85"/>
    <w:rsid w:val="21E30D42"/>
    <w:rsid w:val="22201238"/>
    <w:rsid w:val="22617B2B"/>
    <w:rsid w:val="226A4C31"/>
    <w:rsid w:val="226B2757"/>
    <w:rsid w:val="22B74B50"/>
    <w:rsid w:val="22C500B9"/>
    <w:rsid w:val="22F4274D"/>
    <w:rsid w:val="23696C97"/>
    <w:rsid w:val="23CB5BA3"/>
    <w:rsid w:val="23DD5975"/>
    <w:rsid w:val="23FA2DFB"/>
    <w:rsid w:val="242D0576"/>
    <w:rsid w:val="24BE3012"/>
    <w:rsid w:val="250003E1"/>
    <w:rsid w:val="250032EF"/>
    <w:rsid w:val="25396B3D"/>
    <w:rsid w:val="256F255E"/>
    <w:rsid w:val="2601367E"/>
    <w:rsid w:val="260E1459"/>
    <w:rsid w:val="26647BE9"/>
    <w:rsid w:val="26CB1FFA"/>
    <w:rsid w:val="277327DA"/>
    <w:rsid w:val="278A02F5"/>
    <w:rsid w:val="27BA6FBE"/>
    <w:rsid w:val="282707F3"/>
    <w:rsid w:val="28F33F9C"/>
    <w:rsid w:val="290B7C96"/>
    <w:rsid w:val="299E3412"/>
    <w:rsid w:val="29CC6E69"/>
    <w:rsid w:val="2A24600D"/>
    <w:rsid w:val="2A4B17EC"/>
    <w:rsid w:val="2A5A1159"/>
    <w:rsid w:val="2B0D5F6D"/>
    <w:rsid w:val="2B2D09A1"/>
    <w:rsid w:val="2B683928"/>
    <w:rsid w:val="2C025EDA"/>
    <w:rsid w:val="2C273B93"/>
    <w:rsid w:val="2C412EA7"/>
    <w:rsid w:val="2C734A42"/>
    <w:rsid w:val="2C8402CC"/>
    <w:rsid w:val="2C8965FC"/>
    <w:rsid w:val="2C9F3729"/>
    <w:rsid w:val="2CD25DAF"/>
    <w:rsid w:val="2D381852"/>
    <w:rsid w:val="2D511CA4"/>
    <w:rsid w:val="2DAF3E40"/>
    <w:rsid w:val="2DDA4C9A"/>
    <w:rsid w:val="2DE55AB4"/>
    <w:rsid w:val="2DFA155F"/>
    <w:rsid w:val="2E0C3A22"/>
    <w:rsid w:val="2E0D1483"/>
    <w:rsid w:val="2E3D7EEF"/>
    <w:rsid w:val="2EBB4BEE"/>
    <w:rsid w:val="2F137233"/>
    <w:rsid w:val="2FAA2B11"/>
    <w:rsid w:val="2FEF49C8"/>
    <w:rsid w:val="30393E95"/>
    <w:rsid w:val="309B0E6F"/>
    <w:rsid w:val="314F63EB"/>
    <w:rsid w:val="319C6045"/>
    <w:rsid w:val="31B41C0A"/>
    <w:rsid w:val="31B45EC9"/>
    <w:rsid w:val="31D54EF7"/>
    <w:rsid w:val="31EB11BF"/>
    <w:rsid w:val="32351D06"/>
    <w:rsid w:val="324B2329"/>
    <w:rsid w:val="32A83B15"/>
    <w:rsid w:val="32AE46C6"/>
    <w:rsid w:val="32E6579B"/>
    <w:rsid w:val="33395E7A"/>
    <w:rsid w:val="3345781A"/>
    <w:rsid w:val="33950813"/>
    <w:rsid w:val="33B91786"/>
    <w:rsid w:val="33D60378"/>
    <w:rsid w:val="33EA7980"/>
    <w:rsid w:val="356419B4"/>
    <w:rsid w:val="35F9034E"/>
    <w:rsid w:val="365A27C8"/>
    <w:rsid w:val="3694744F"/>
    <w:rsid w:val="373F4487"/>
    <w:rsid w:val="37894282"/>
    <w:rsid w:val="378C2AA9"/>
    <w:rsid w:val="38A6160E"/>
    <w:rsid w:val="38C34C43"/>
    <w:rsid w:val="38C43CA9"/>
    <w:rsid w:val="39826B31"/>
    <w:rsid w:val="39A6259B"/>
    <w:rsid w:val="3B781D15"/>
    <w:rsid w:val="3B9052B1"/>
    <w:rsid w:val="3BE55E13"/>
    <w:rsid w:val="3C2D2B00"/>
    <w:rsid w:val="3C4B3FC2"/>
    <w:rsid w:val="3C990FCB"/>
    <w:rsid w:val="3D7E46A8"/>
    <w:rsid w:val="3DF81D2A"/>
    <w:rsid w:val="3E1A70B4"/>
    <w:rsid w:val="3E4A79FC"/>
    <w:rsid w:val="3E5E1BF9"/>
    <w:rsid w:val="3E75078E"/>
    <w:rsid w:val="3EA03A5D"/>
    <w:rsid w:val="3ECF1148"/>
    <w:rsid w:val="3EDC25BB"/>
    <w:rsid w:val="3F1F65DD"/>
    <w:rsid w:val="3FB757CD"/>
    <w:rsid w:val="3FBD724F"/>
    <w:rsid w:val="3FEE56D0"/>
    <w:rsid w:val="3FFD4EDF"/>
    <w:rsid w:val="40034CE0"/>
    <w:rsid w:val="403D553F"/>
    <w:rsid w:val="4045722C"/>
    <w:rsid w:val="40D7128C"/>
    <w:rsid w:val="40EB11DB"/>
    <w:rsid w:val="41272213"/>
    <w:rsid w:val="413F4786"/>
    <w:rsid w:val="41DF2AEE"/>
    <w:rsid w:val="42162BD2"/>
    <w:rsid w:val="42186000"/>
    <w:rsid w:val="423A5616"/>
    <w:rsid w:val="426923B8"/>
    <w:rsid w:val="42CE4911"/>
    <w:rsid w:val="42E12896"/>
    <w:rsid w:val="42E303BC"/>
    <w:rsid w:val="43607C5E"/>
    <w:rsid w:val="436B215F"/>
    <w:rsid w:val="43703F00"/>
    <w:rsid w:val="43F319C0"/>
    <w:rsid w:val="43F53D29"/>
    <w:rsid w:val="44052F6D"/>
    <w:rsid w:val="445C54F5"/>
    <w:rsid w:val="44867251"/>
    <w:rsid w:val="44CD4E80"/>
    <w:rsid w:val="44ED72D0"/>
    <w:rsid w:val="458A4B1F"/>
    <w:rsid w:val="45B84D5C"/>
    <w:rsid w:val="45C75919"/>
    <w:rsid w:val="461C6516"/>
    <w:rsid w:val="46217054"/>
    <w:rsid w:val="46226C7C"/>
    <w:rsid w:val="46254F1A"/>
    <w:rsid w:val="47B02837"/>
    <w:rsid w:val="47E471A5"/>
    <w:rsid w:val="48485148"/>
    <w:rsid w:val="48861F15"/>
    <w:rsid w:val="48A905A4"/>
    <w:rsid w:val="48BB1493"/>
    <w:rsid w:val="49044BE8"/>
    <w:rsid w:val="491D3EFC"/>
    <w:rsid w:val="498D2E30"/>
    <w:rsid w:val="49F45D1E"/>
    <w:rsid w:val="4A5C0AFE"/>
    <w:rsid w:val="4ACB490C"/>
    <w:rsid w:val="4B2D35EC"/>
    <w:rsid w:val="4B3F63AB"/>
    <w:rsid w:val="4B6173B9"/>
    <w:rsid w:val="4BA12BC2"/>
    <w:rsid w:val="4BF1634C"/>
    <w:rsid w:val="4C1A1186"/>
    <w:rsid w:val="4C1E4213"/>
    <w:rsid w:val="4C7240D0"/>
    <w:rsid w:val="4C8C2F4B"/>
    <w:rsid w:val="4CA3296A"/>
    <w:rsid w:val="4D4C6D24"/>
    <w:rsid w:val="4D8412CA"/>
    <w:rsid w:val="4DAE072C"/>
    <w:rsid w:val="4DC40B01"/>
    <w:rsid w:val="4DD17574"/>
    <w:rsid w:val="4E3F7EF2"/>
    <w:rsid w:val="4E50411F"/>
    <w:rsid w:val="4E53118F"/>
    <w:rsid w:val="4E535E94"/>
    <w:rsid w:val="4EBC7D13"/>
    <w:rsid w:val="4ED67027"/>
    <w:rsid w:val="4F0F3AB7"/>
    <w:rsid w:val="4F156EDC"/>
    <w:rsid w:val="4F195165"/>
    <w:rsid w:val="4F525FCE"/>
    <w:rsid w:val="4F936CC6"/>
    <w:rsid w:val="4FA17CA6"/>
    <w:rsid w:val="4FEB04D1"/>
    <w:rsid w:val="4FED432F"/>
    <w:rsid w:val="501C315F"/>
    <w:rsid w:val="50760AC1"/>
    <w:rsid w:val="50EC3E2B"/>
    <w:rsid w:val="510032E3"/>
    <w:rsid w:val="514840EF"/>
    <w:rsid w:val="51B21297"/>
    <w:rsid w:val="51E97071"/>
    <w:rsid w:val="523302EC"/>
    <w:rsid w:val="524547A9"/>
    <w:rsid w:val="525613B6"/>
    <w:rsid w:val="52741FD4"/>
    <w:rsid w:val="52B43B6C"/>
    <w:rsid w:val="537E1A3B"/>
    <w:rsid w:val="54090E20"/>
    <w:rsid w:val="54D73EC6"/>
    <w:rsid w:val="54ED444E"/>
    <w:rsid w:val="552D3719"/>
    <w:rsid w:val="55961CE5"/>
    <w:rsid w:val="55E55977"/>
    <w:rsid w:val="569A6B8C"/>
    <w:rsid w:val="56B72E79"/>
    <w:rsid w:val="5730129E"/>
    <w:rsid w:val="57DF67F9"/>
    <w:rsid w:val="57F56770"/>
    <w:rsid w:val="582C415B"/>
    <w:rsid w:val="585039A6"/>
    <w:rsid w:val="58F702C5"/>
    <w:rsid w:val="58FD5F53"/>
    <w:rsid w:val="59883613"/>
    <w:rsid w:val="59D74F82"/>
    <w:rsid w:val="5A807902"/>
    <w:rsid w:val="5B044F1C"/>
    <w:rsid w:val="5B235531"/>
    <w:rsid w:val="5B5F03A4"/>
    <w:rsid w:val="5BB300C0"/>
    <w:rsid w:val="5BC43B2B"/>
    <w:rsid w:val="5C1E200D"/>
    <w:rsid w:val="5C3F2F33"/>
    <w:rsid w:val="5C7E30BB"/>
    <w:rsid w:val="5C7E5810"/>
    <w:rsid w:val="5CA54D24"/>
    <w:rsid w:val="5CD87317"/>
    <w:rsid w:val="5CE70651"/>
    <w:rsid w:val="5D5B41FF"/>
    <w:rsid w:val="5D715AA9"/>
    <w:rsid w:val="5D7F0889"/>
    <w:rsid w:val="5D944335"/>
    <w:rsid w:val="5DBF01BE"/>
    <w:rsid w:val="5DEE5043"/>
    <w:rsid w:val="5E117222"/>
    <w:rsid w:val="5E4775F9"/>
    <w:rsid w:val="5E5674C7"/>
    <w:rsid w:val="5E67480F"/>
    <w:rsid w:val="5EA17159"/>
    <w:rsid w:val="5EEB267A"/>
    <w:rsid w:val="5F8748DA"/>
    <w:rsid w:val="5FDE1234"/>
    <w:rsid w:val="60566219"/>
    <w:rsid w:val="607E12CC"/>
    <w:rsid w:val="60C21E5F"/>
    <w:rsid w:val="6171498D"/>
    <w:rsid w:val="6195352E"/>
    <w:rsid w:val="61E6537B"/>
    <w:rsid w:val="621E2D67"/>
    <w:rsid w:val="6265548D"/>
    <w:rsid w:val="628030DA"/>
    <w:rsid w:val="62AA45FB"/>
    <w:rsid w:val="62B46E72"/>
    <w:rsid w:val="62D33A10"/>
    <w:rsid w:val="62E775FD"/>
    <w:rsid w:val="63604C33"/>
    <w:rsid w:val="63653CAD"/>
    <w:rsid w:val="63E61662"/>
    <w:rsid w:val="63F7532D"/>
    <w:rsid w:val="643407A7"/>
    <w:rsid w:val="64656A2B"/>
    <w:rsid w:val="647B1A55"/>
    <w:rsid w:val="64DB0A9B"/>
    <w:rsid w:val="65561E5B"/>
    <w:rsid w:val="6573295C"/>
    <w:rsid w:val="6582360D"/>
    <w:rsid w:val="65931DA1"/>
    <w:rsid w:val="65B5026D"/>
    <w:rsid w:val="65B50990"/>
    <w:rsid w:val="65C14135"/>
    <w:rsid w:val="65C23A09"/>
    <w:rsid w:val="65D17642"/>
    <w:rsid w:val="661701F9"/>
    <w:rsid w:val="66292968"/>
    <w:rsid w:val="667761EE"/>
    <w:rsid w:val="669D6869"/>
    <w:rsid w:val="66EB7B2A"/>
    <w:rsid w:val="67201A8D"/>
    <w:rsid w:val="673E0C66"/>
    <w:rsid w:val="675170DC"/>
    <w:rsid w:val="675F33B7"/>
    <w:rsid w:val="67915D89"/>
    <w:rsid w:val="68103152"/>
    <w:rsid w:val="68A13DAA"/>
    <w:rsid w:val="68A25790"/>
    <w:rsid w:val="68CC52CB"/>
    <w:rsid w:val="69643755"/>
    <w:rsid w:val="69CA2F89"/>
    <w:rsid w:val="69DC26B1"/>
    <w:rsid w:val="6A184540"/>
    <w:rsid w:val="6A2151A2"/>
    <w:rsid w:val="6A373075"/>
    <w:rsid w:val="6A665113"/>
    <w:rsid w:val="6AF74490"/>
    <w:rsid w:val="6B144E28"/>
    <w:rsid w:val="6BFF59B7"/>
    <w:rsid w:val="6C403671"/>
    <w:rsid w:val="6C6B4DFB"/>
    <w:rsid w:val="6C6D4A58"/>
    <w:rsid w:val="6CCD33BF"/>
    <w:rsid w:val="6D154D66"/>
    <w:rsid w:val="6D905053"/>
    <w:rsid w:val="6DD469CF"/>
    <w:rsid w:val="6E542593"/>
    <w:rsid w:val="6E573888"/>
    <w:rsid w:val="6ECD3B4B"/>
    <w:rsid w:val="6ED8429D"/>
    <w:rsid w:val="6F556684"/>
    <w:rsid w:val="6F9E54E7"/>
    <w:rsid w:val="6FDC1B6B"/>
    <w:rsid w:val="6FE3114C"/>
    <w:rsid w:val="70134ABB"/>
    <w:rsid w:val="70377E36"/>
    <w:rsid w:val="70A703CB"/>
    <w:rsid w:val="70B3479D"/>
    <w:rsid w:val="70F75741"/>
    <w:rsid w:val="712029B9"/>
    <w:rsid w:val="7174432C"/>
    <w:rsid w:val="728C5ACB"/>
    <w:rsid w:val="7298621E"/>
    <w:rsid w:val="72B76A57"/>
    <w:rsid w:val="73565C82"/>
    <w:rsid w:val="73D9089C"/>
    <w:rsid w:val="73D94D40"/>
    <w:rsid w:val="745B5217"/>
    <w:rsid w:val="747B2D8F"/>
    <w:rsid w:val="74C01E69"/>
    <w:rsid w:val="74D067FF"/>
    <w:rsid w:val="74D64461"/>
    <w:rsid w:val="755C628B"/>
    <w:rsid w:val="755E58D5"/>
    <w:rsid w:val="755F74C6"/>
    <w:rsid w:val="75995B4F"/>
    <w:rsid w:val="76036494"/>
    <w:rsid w:val="761360D7"/>
    <w:rsid w:val="762439FD"/>
    <w:rsid w:val="76312C11"/>
    <w:rsid w:val="76375D4D"/>
    <w:rsid w:val="76992E80"/>
    <w:rsid w:val="769E7490"/>
    <w:rsid w:val="76D53734"/>
    <w:rsid w:val="76DE455C"/>
    <w:rsid w:val="76FC6A80"/>
    <w:rsid w:val="77D00208"/>
    <w:rsid w:val="77D5581E"/>
    <w:rsid w:val="77D9530E"/>
    <w:rsid w:val="77F03ED5"/>
    <w:rsid w:val="77FC0FFD"/>
    <w:rsid w:val="78A44248"/>
    <w:rsid w:val="78C935D5"/>
    <w:rsid w:val="78C95383"/>
    <w:rsid w:val="78DE59AA"/>
    <w:rsid w:val="794E57F6"/>
    <w:rsid w:val="79972073"/>
    <w:rsid w:val="79BF70EF"/>
    <w:rsid w:val="79E60D90"/>
    <w:rsid w:val="7A195E96"/>
    <w:rsid w:val="7A3E58FC"/>
    <w:rsid w:val="7A434CC1"/>
    <w:rsid w:val="7A9A058E"/>
    <w:rsid w:val="7AB6266E"/>
    <w:rsid w:val="7ADB139D"/>
    <w:rsid w:val="7B68601A"/>
    <w:rsid w:val="7B713AB0"/>
    <w:rsid w:val="7BAB3527"/>
    <w:rsid w:val="7BDE0A4B"/>
    <w:rsid w:val="7BE349AD"/>
    <w:rsid w:val="7C38637B"/>
    <w:rsid w:val="7C4C159F"/>
    <w:rsid w:val="7C857813"/>
    <w:rsid w:val="7CC935D6"/>
    <w:rsid w:val="7DE25B31"/>
    <w:rsid w:val="7E1F77F3"/>
    <w:rsid w:val="7E9D2BEE"/>
    <w:rsid w:val="7F361298"/>
    <w:rsid w:val="7F4E65E2"/>
    <w:rsid w:val="7FA513FD"/>
    <w:rsid w:val="7FA77AA0"/>
    <w:rsid w:val="7FAC4A8E"/>
    <w:rsid w:val="7FF90B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numPr>
        <w:ilvl w:val="0"/>
        <w:numId w:val="1"/>
      </w:numPr>
      <w:jc w:val="center"/>
      <w:outlineLvl w:val="0"/>
    </w:pPr>
    <w:rPr>
      <w:rFonts w:eastAsia="黑体"/>
      <w:b/>
      <w:sz w:val="32"/>
      <w:szCs w:val="20"/>
    </w:rPr>
  </w:style>
  <w:style w:type="paragraph" w:styleId="3">
    <w:name w:val="heading 2"/>
    <w:basedOn w:val="1"/>
    <w:next w:val="1"/>
    <w:qFormat/>
    <w:uiPriority w:val="0"/>
    <w:pPr>
      <w:keepNext/>
      <w:keepLines/>
      <w:spacing w:line="360" w:lineRule="auto"/>
      <w:outlineLvl w:val="1"/>
    </w:pPr>
    <w:rPr>
      <w:rFonts w:ascii="Arial" w:hAnsi="Arial"/>
      <w:b/>
      <w:bCs/>
      <w:sz w:val="24"/>
      <w:szCs w:val="32"/>
    </w:rPr>
  </w:style>
  <w:style w:type="paragraph" w:styleId="4">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afterLines="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2">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3">
    <w:name w:val="toc 1"/>
    <w:basedOn w:val="1"/>
    <w:next w:val="1"/>
    <w:unhideWhenUsed/>
    <w:qFormat/>
    <w:uiPriority w:val="39"/>
  </w:style>
  <w:style w:type="paragraph" w:styleId="14">
    <w:name w:val="toc 2"/>
    <w:basedOn w:val="1"/>
    <w:next w:val="1"/>
    <w:qFormat/>
    <w:uiPriority w:val="0"/>
    <w:pPr>
      <w:ind w:left="200" w:leftChars="200"/>
    </w:pPr>
  </w:style>
  <w:style w:type="paragraph" w:styleId="15">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6">
    <w:name w:val="Body Text First Indent"/>
    <w:basedOn w:val="6"/>
    <w:next w:val="1"/>
    <w:qFormat/>
    <w:uiPriority w:val="0"/>
    <w:pPr>
      <w:ind w:firstLine="420" w:firstLineChars="100"/>
    </w:pPr>
    <w:rPr>
      <w:b/>
      <w:bCs/>
      <w:szCs w:val="24"/>
    </w:rPr>
  </w:style>
  <w:style w:type="paragraph" w:styleId="17">
    <w:name w:val="Body Text First Indent 2"/>
    <w:basedOn w:val="7"/>
    <w:qFormat/>
    <w:uiPriority w:val="0"/>
    <w:pPr>
      <w:spacing w:after="120"/>
      <w:ind w:left="420" w:leftChars="200" w:firstLine="420"/>
    </w:pPr>
    <w:rPr>
      <w:rFonts w:cs="宋体"/>
      <w:sz w:val="21"/>
      <w:szCs w:val="21"/>
    </w:rPr>
  </w:style>
  <w:style w:type="table" w:styleId="19">
    <w:name w:val="Table Grid"/>
    <w:basedOn w:val="18"/>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paragraph" w:customStyle="1" w:styleId="2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3">
    <w:name w:val="标题 1 字符"/>
    <w:link w:val="2"/>
    <w:qFormat/>
    <w:uiPriority w:val="0"/>
    <w:rPr>
      <w:rFonts w:eastAsia="黑体"/>
      <w:b/>
      <w:sz w:val="32"/>
      <w:szCs w:val="20"/>
    </w:rPr>
  </w:style>
  <w:style w:type="paragraph" w:styleId="24">
    <w:name w:val="List Paragraph"/>
    <w:basedOn w:val="1"/>
    <w:qFormat/>
    <w:uiPriority w:val="0"/>
    <w:pPr>
      <w:ind w:firstLine="420" w:firstLineChars="200"/>
    </w:pPr>
    <w:rPr>
      <w:rFonts w:ascii="Calibri" w:hAnsi="Calibri"/>
      <w:szCs w:val="22"/>
    </w:rPr>
  </w:style>
  <w:style w:type="paragraph" w:customStyle="1" w:styleId="25">
    <w:name w:val="保留正文"/>
    <w:basedOn w:val="6"/>
    <w:qFormat/>
    <w:uiPriority w:val="0"/>
  </w:style>
  <w:style w:type="table" w:customStyle="1" w:styleId="26">
    <w:name w:val="Table Normal"/>
    <w:unhideWhenUsed/>
    <w:qFormat/>
    <w:uiPriority w:val="0"/>
    <w:tblPr>
      <w:tblCellMar>
        <w:top w:w="0" w:type="dxa"/>
        <w:left w:w="0" w:type="dxa"/>
        <w:bottom w:w="0" w:type="dxa"/>
        <w:right w:w="0" w:type="dxa"/>
      </w:tblCellMar>
    </w:tblPr>
  </w:style>
  <w:style w:type="paragraph" w:customStyle="1" w:styleId="27">
    <w:name w:val="Table Text"/>
    <w:basedOn w:val="1"/>
    <w:semiHidden/>
    <w:qFormat/>
    <w:uiPriority w:val="0"/>
    <w:rPr>
      <w:rFonts w:ascii="宋体" w:hAnsi="宋体" w:eastAsia="宋体" w:cs="宋体"/>
      <w:sz w:val="21"/>
      <w:szCs w:val="21"/>
      <w:lang w:val="en-US" w:eastAsia="en-US" w:bidi="ar-SA"/>
    </w:rPr>
  </w:style>
  <w:style w:type="paragraph" w:customStyle="1" w:styleId="28">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9">
    <w:name w:val="列出段落1"/>
    <w:basedOn w:val="1"/>
    <w:qFormat/>
    <w:uiPriority w:val="0"/>
    <w:pPr>
      <w:ind w:firstLine="420" w:firstLineChars="200"/>
    </w:pPr>
    <w:rPr>
      <w:szCs w:val="21"/>
    </w:rPr>
  </w:style>
  <w:style w:type="paragraph" w:customStyle="1" w:styleId="30">
    <w:name w:val="_Style 101"/>
    <w:basedOn w:val="7"/>
    <w:next w:val="17"/>
    <w:autoRedefine/>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4062</Words>
  <Characters>4275</Characters>
  <Lines>0</Lines>
  <Paragraphs>0</Paragraphs>
  <TotalTime>10</TotalTime>
  <ScaleCrop>false</ScaleCrop>
  <LinksUpToDate>false</LinksUpToDate>
  <CharactersWithSpaces>5031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2025-05-05T07:23:24Z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ies>
</file>